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pPr w:leftFromText="141" w:rightFromText="141" w:vertAnchor="page" w:horzAnchor="margin" w:tblpY="274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2340"/>
        <w:gridCol w:w="6947"/>
      </w:tblGrid>
      <w:tr w:rsidR="000C3049" w:rsidRPr="000C3049" w14:paraId="7B045078" w14:textId="77777777" w:rsidTr="00056A08">
        <w:trPr>
          <w:trHeight w:val="890"/>
        </w:trPr>
        <w:tc>
          <w:tcPr>
            <w:tcW w:w="9648" w:type="dxa"/>
            <w:gridSpan w:val="3"/>
          </w:tcPr>
          <w:p w14:paraId="7BAB7068" w14:textId="77777777" w:rsidR="000C3049" w:rsidRPr="000C3049" w:rsidRDefault="000C3049" w:rsidP="00056A08">
            <w:pPr>
              <w:spacing w:after="0" w:line="240" w:lineRule="auto"/>
              <w:jc w:val="center"/>
              <w:rPr>
                <w:rFonts w:cs="Arial"/>
                <w:color w:val="808080"/>
                <w:szCs w:val="18"/>
                <w:lang w:val="en-GB"/>
              </w:rPr>
            </w:pPr>
          </w:p>
        </w:tc>
      </w:tr>
      <w:tr w:rsidR="000C3049" w:rsidRPr="00DF7BA4" w14:paraId="3605370E" w14:textId="77777777" w:rsidTr="00056A08">
        <w:tc>
          <w:tcPr>
            <w:tcW w:w="9648" w:type="dxa"/>
            <w:gridSpan w:val="3"/>
            <w:tcBorders>
              <w:top w:val="nil"/>
            </w:tcBorders>
          </w:tcPr>
          <w:p w14:paraId="6F90142F" w14:textId="77777777" w:rsidR="00857AAF" w:rsidRPr="00DF7BA4" w:rsidRDefault="00607845" w:rsidP="0056319D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noProof/>
                <w:sz w:val="20"/>
                <w:szCs w:val="20"/>
                <w:lang w:eastAsia="it-IT"/>
              </w:rPr>
              <w:pict w14:anchorId="2F9876D8">
                <v:rect id="_x0000_s1029" style="position:absolute;left:0;text-align:left;margin-left:-10pt;margin-top:-73pt;width:483.9pt;height:3.55pt;z-index:251657728;mso-position-horizontal-relative:text;mso-position-vertical-relative:text">
                  <v:textbox>
                    <w:txbxContent>
                      <w:p w14:paraId="0714188F" w14:textId="77777777" w:rsidR="00857AAF" w:rsidRPr="00AA5C68" w:rsidRDefault="00857AAF" w:rsidP="00857AAF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proofErr w:type="spellStart"/>
            <w:r w:rsidR="00857AAF" w:rsidRPr="00DF7BA4">
              <w:rPr>
                <w:rFonts w:cs="Arial"/>
                <w:b/>
                <w:bCs/>
                <w:smallCaps/>
                <w:sz w:val="20"/>
                <w:szCs w:val="20"/>
              </w:rPr>
              <w:t>Degree</w:t>
            </w:r>
            <w:proofErr w:type="spellEnd"/>
            <w:r w:rsidR="00857AAF" w:rsidRPr="00DF7BA4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profile of</w:t>
            </w:r>
          </w:p>
          <w:p w14:paraId="05635460" w14:textId="77777777" w:rsidR="0006334D" w:rsidRPr="0023780B" w:rsidRDefault="0006334D" w:rsidP="00056A08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 w:rsidRPr="0023780B">
              <w:rPr>
                <w:rFonts w:cs="Arial"/>
                <w:szCs w:val="18"/>
              </w:rPr>
              <w:t xml:space="preserve">Economia, Amministrazione e Finanza </w:t>
            </w:r>
          </w:p>
          <w:p w14:paraId="4EA89FBF" w14:textId="77777777" w:rsidR="000C3049" w:rsidRPr="0006334D" w:rsidRDefault="00120FFA" w:rsidP="00120FFA">
            <w:pPr>
              <w:spacing w:after="0" w:line="240" w:lineRule="auto"/>
              <w:jc w:val="center"/>
              <w:rPr>
                <w:rFonts w:cs="Arial"/>
                <w:color w:val="808080"/>
                <w:szCs w:val="18"/>
                <w:lang w:val="en-GB"/>
              </w:rPr>
            </w:pPr>
            <w:r>
              <w:rPr>
                <w:rFonts w:cs="Arial"/>
                <w:i/>
                <w:szCs w:val="18"/>
                <w:lang w:val="en-GB"/>
              </w:rPr>
              <w:t>Management, Economics and Finance</w:t>
            </w:r>
          </w:p>
        </w:tc>
      </w:tr>
      <w:tr w:rsidR="000C3049" w:rsidRPr="00DF7BA4" w14:paraId="75B31DF4" w14:textId="77777777" w:rsidTr="00056A08">
        <w:tc>
          <w:tcPr>
            <w:tcW w:w="9648" w:type="dxa"/>
            <w:gridSpan w:val="3"/>
            <w:tcBorders>
              <w:left w:val="nil"/>
              <w:right w:val="nil"/>
            </w:tcBorders>
          </w:tcPr>
          <w:p w14:paraId="011DF7AB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049" w:rsidRPr="00EA037E" w14:paraId="4D743C2D" w14:textId="77777777" w:rsidTr="00056A08">
        <w:tc>
          <w:tcPr>
            <w:tcW w:w="2701" w:type="dxa"/>
            <w:gridSpan w:val="2"/>
          </w:tcPr>
          <w:p w14:paraId="73911ABE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Type of degree</w:t>
            </w:r>
            <w:r>
              <w:rPr>
                <w:rFonts w:cs="Arial"/>
                <w:smallCaps/>
                <w:sz w:val="20"/>
                <w:szCs w:val="20"/>
                <w:lang w:val="en-GB"/>
              </w:rPr>
              <w:t xml:space="preserve"> &amp; Length</w:t>
            </w:r>
          </w:p>
        </w:tc>
        <w:tc>
          <w:tcPr>
            <w:tcW w:w="6947" w:type="dxa"/>
          </w:tcPr>
          <w:p w14:paraId="20BBCF34" w14:textId="77777777" w:rsidR="000C3049" w:rsidRDefault="001E4846" w:rsidP="00056A0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2</w:t>
            </w:r>
            <w:r w:rsidR="0023780B" w:rsidRPr="0023780B">
              <w:rPr>
                <w:rFonts w:cs="Arial"/>
                <w:sz w:val="20"/>
                <w:szCs w:val="20"/>
                <w:vertAlign w:val="superscript"/>
                <w:lang w:val="en-GB"/>
              </w:rPr>
              <w:t>st</w:t>
            </w:r>
            <w:r w:rsidR="0023780B">
              <w:rPr>
                <w:rFonts w:cs="Arial"/>
                <w:sz w:val="20"/>
                <w:szCs w:val="20"/>
                <w:lang w:val="en-GB"/>
              </w:rPr>
              <w:t xml:space="preserve"> Cycle degree (</w:t>
            </w:r>
            <w:r w:rsidR="00716613" w:rsidRPr="00B90217">
              <w:rPr>
                <w:rFonts w:cs="Arial"/>
                <w:sz w:val="20"/>
                <w:szCs w:val="20"/>
                <w:lang w:val="en-GB"/>
              </w:rPr>
              <w:t>ECTS credits:</w:t>
            </w:r>
            <w:r w:rsidR="0071661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B90217">
              <w:rPr>
                <w:rFonts w:cs="Arial"/>
                <w:sz w:val="20"/>
                <w:szCs w:val="20"/>
                <w:lang w:val="en-GB"/>
              </w:rPr>
              <w:t>120</w:t>
            </w:r>
            <w:r w:rsidR="00716613">
              <w:rPr>
                <w:rFonts w:cs="Arial"/>
                <w:sz w:val="20"/>
                <w:szCs w:val="20"/>
                <w:lang w:val="en-GB"/>
              </w:rPr>
              <w:t xml:space="preserve">; </w:t>
            </w:r>
            <w:r w:rsidRPr="001E4846">
              <w:rPr>
                <w:rFonts w:cs="Arial"/>
                <w:sz w:val="20"/>
                <w:szCs w:val="20"/>
                <w:highlight w:val="yellow"/>
                <w:lang w:val="en-GB"/>
              </w:rPr>
              <w:t>5</w:t>
            </w:r>
            <w:r w:rsidR="0023780B" w:rsidRPr="001E4846">
              <w:rPr>
                <w:rFonts w:cs="Arial"/>
                <w:sz w:val="20"/>
                <w:szCs w:val="20"/>
                <w:highlight w:val="yellow"/>
                <w:lang w:val="en-GB"/>
              </w:rPr>
              <w:t xml:space="preserve"> year</w:t>
            </w:r>
            <w:r w:rsidR="0023780B">
              <w:rPr>
                <w:rFonts w:cs="Arial"/>
                <w:sz w:val="20"/>
                <w:szCs w:val="20"/>
                <w:lang w:val="en-GB"/>
              </w:rPr>
              <w:t>s)</w:t>
            </w:r>
          </w:p>
          <w:p w14:paraId="6008D22F" w14:textId="77777777" w:rsidR="000C3049" w:rsidRPr="001C3BF2" w:rsidRDefault="000C3049" w:rsidP="00056A08">
            <w:pPr>
              <w:spacing w:after="0" w:line="240" w:lineRule="auto"/>
              <w:jc w:val="both"/>
              <w:rPr>
                <w:rFonts w:cs="Arial"/>
                <w:color w:val="808080"/>
                <w:sz w:val="20"/>
                <w:szCs w:val="20"/>
                <w:lang w:val="en-GB"/>
              </w:rPr>
            </w:pPr>
          </w:p>
        </w:tc>
      </w:tr>
      <w:tr w:rsidR="000C3049" w:rsidRPr="0023780B" w14:paraId="728969CA" w14:textId="77777777" w:rsidTr="00056A08">
        <w:tc>
          <w:tcPr>
            <w:tcW w:w="2701" w:type="dxa"/>
            <w:gridSpan w:val="2"/>
          </w:tcPr>
          <w:p w14:paraId="7F3561C9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proofErr w:type="gramStart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Institution(</w:t>
            </w:r>
            <w:proofErr w:type="gramEnd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s)</w:t>
            </w:r>
          </w:p>
        </w:tc>
        <w:tc>
          <w:tcPr>
            <w:tcW w:w="6947" w:type="dxa"/>
          </w:tcPr>
          <w:p w14:paraId="3DF55B40" w14:textId="77777777" w:rsidR="000C3049" w:rsidRPr="0023780B" w:rsidRDefault="0023780B" w:rsidP="00056A08">
            <w:pPr>
              <w:spacing w:after="0" w:line="240" w:lineRule="auto"/>
              <w:jc w:val="both"/>
              <w:rPr>
                <w:rFonts w:cs="Arial"/>
                <w:color w:val="0000CC"/>
                <w:sz w:val="20"/>
                <w:szCs w:val="20"/>
              </w:rPr>
            </w:pPr>
            <w:r>
              <w:rPr>
                <w:rFonts w:ascii="Arial-Narrow" w:hAnsi="Arial-Narrow" w:cs="Arial-Narrow"/>
                <w:sz w:val="23"/>
                <w:szCs w:val="23"/>
              </w:rPr>
              <w:t xml:space="preserve">Università degli Studi dell’Aquila - </w:t>
            </w:r>
            <w:proofErr w:type="spellStart"/>
            <w:r w:rsidRPr="0023780B">
              <w:rPr>
                <w:rFonts w:ascii="Arial-Narrow,Italic" w:hAnsi="Arial-Narrow,Italic" w:cs="Arial-Narrow,Italic"/>
                <w:i/>
                <w:sz w:val="23"/>
                <w:szCs w:val="23"/>
              </w:rPr>
              <w:t>University</w:t>
            </w:r>
            <w:proofErr w:type="spellEnd"/>
            <w:r w:rsidRPr="0023780B">
              <w:rPr>
                <w:rFonts w:ascii="Arial-Narrow,Italic" w:hAnsi="Arial-Narrow,Italic" w:cs="Arial-Narrow,Italic"/>
                <w:i/>
                <w:sz w:val="23"/>
                <w:szCs w:val="23"/>
              </w:rPr>
              <w:t xml:space="preserve"> of L’Aquila</w:t>
            </w:r>
            <w:r>
              <w:rPr>
                <w:rFonts w:ascii="Arial-Narrow,Italic" w:hAnsi="Arial-Narrow,Italic" w:cs="Arial-Narrow,Italic"/>
                <w:sz w:val="23"/>
                <w:szCs w:val="23"/>
              </w:rPr>
              <w:t xml:space="preserve">, </w:t>
            </w:r>
            <w:r>
              <w:rPr>
                <w:rFonts w:ascii="Arial-Narrow" w:hAnsi="Arial-Narrow" w:cs="Arial-Narrow"/>
                <w:sz w:val="23"/>
                <w:szCs w:val="23"/>
              </w:rPr>
              <w:t>ITALY</w:t>
            </w:r>
          </w:p>
          <w:p w14:paraId="08BA6A37" w14:textId="77777777" w:rsidR="000C3049" w:rsidRPr="0023780B" w:rsidRDefault="000C3049" w:rsidP="00056A08">
            <w:pPr>
              <w:spacing w:after="0" w:line="240" w:lineRule="auto"/>
              <w:jc w:val="both"/>
              <w:rPr>
                <w:rFonts w:cs="Arial"/>
                <w:color w:val="808080"/>
                <w:sz w:val="20"/>
                <w:szCs w:val="20"/>
              </w:rPr>
            </w:pPr>
          </w:p>
        </w:tc>
      </w:tr>
      <w:tr w:rsidR="000C3049" w:rsidRPr="00EA037E" w14:paraId="710D5A99" w14:textId="77777777" w:rsidTr="00056A08">
        <w:tc>
          <w:tcPr>
            <w:tcW w:w="2701" w:type="dxa"/>
            <w:gridSpan w:val="2"/>
          </w:tcPr>
          <w:p w14:paraId="1CAC51DC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Accreditation </w:t>
            </w:r>
            <w:proofErr w:type="gramStart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organisation(</w:t>
            </w:r>
            <w:proofErr w:type="gramEnd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s) </w:t>
            </w:r>
          </w:p>
        </w:tc>
        <w:tc>
          <w:tcPr>
            <w:tcW w:w="6947" w:type="dxa"/>
          </w:tcPr>
          <w:p w14:paraId="19CD38EB" w14:textId="77777777" w:rsidR="000C3049" w:rsidRPr="00025CBB" w:rsidRDefault="00025CBB" w:rsidP="00056A0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Italian </w:t>
            </w:r>
            <w:r w:rsidRPr="00025CBB">
              <w:rPr>
                <w:rFonts w:cs="Arial"/>
                <w:sz w:val="20"/>
                <w:szCs w:val="20"/>
                <w:lang w:val="en-GB"/>
              </w:rPr>
              <w:t>Ministry of education</w:t>
            </w:r>
          </w:p>
        </w:tc>
      </w:tr>
      <w:tr w:rsidR="000C3049" w:rsidRPr="00EA037E" w14:paraId="420641FC" w14:textId="77777777" w:rsidTr="00056A08">
        <w:tc>
          <w:tcPr>
            <w:tcW w:w="2701" w:type="dxa"/>
            <w:gridSpan w:val="2"/>
          </w:tcPr>
          <w:p w14:paraId="28598782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Period of reference</w:t>
            </w:r>
          </w:p>
        </w:tc>
        <w:tc>
          <w:tcPr>
            <w:tcW w:w="6947" w:type="dxa"/>
          </w:tcPr>
          <w:p w14:paraId="0DB05DAC" w14:textId="77777777" w:rsidR="000C3049" w:rsidRPr="00B53237" w:rsidRDefault="000C3049" w:rsidP="00056A08">
            <w:pPr>
              <w:spacing w:line="240" w:lineRule="auto"/>
              <w:jc w:val="both"/>
              <w:rPr>
                <w:rFonts w:cs="Arial"/>
                <w:color w:val="808080"/>
                <w:sz w:val="20"/>
                <w:szCs w:val="20"/>
                <w:highlight w:val="yellow"/>
                <w:lang w:val="en-GB"/>
              </w:rPr>
            </w:pPr>
            <w:r w:rsidRPr="00B53237">
              <w:rPr>
                <w:rFonts w:cs="Arial"/>
                <w:color w:val="808080"/>
                <w:sz w:val="20"/>
                <w:szCs w:val="20"/>
                <w:highlight w:val="yellow"/>
                <w:lang w:val="en-GB"/>
              </w:rPr>
              <w:t xml:space="preserve">Please identify the </w:t>
            </w:r>
            <w:r w:rsidRPr="00B53237">
              <w:rPr>
                <w:rFonts w:cs="Arial"/>
                <w:b/>
                <w:color w:val="808080"/>
                <w:sz w:val="20"/>
                <w:szCs w:val="20"/>
                <w:highlight w:val="yellow"/>
                <w:lang w:val="en-GB"/>
              </w:rPr>
              <w:t>year(s) for which the curriculum is validated/approved</w:t>
            </w:r>
            <w:r w:rsidRPr="00B53237">
              <w:rPr>
                <w:rFonts w:cs="Arial"/>
                <w:color w:val="808080"/>
                <w:sz w:val="20"/>
                <w:szCs w:val="20"/>
                <w:highlight w:val="yellow"/>
                <w:lang w:val="en-GB"/>
              </w:rPr>
              <w:t xml:space="preserve">.  </w:t>
            </w:r>
          </w:p>
        </w:tc>
      </w:tr>
      <w:tr w:rsidR="000C3049" w:rsidRPr="00EA037E" w14:paraId="127EA7C6" w14:textId="77777777" w:rsidTr="00056A08">
        <w:tc>
          <w:tcPr>
            <w:tcW w:w="2701" w:type="dxa"/>
            <w:gridSpan w:val="2"/>
          </w:tcPr>
          <w:p w14:paraId="051E4AB9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smallCaps/>
                <w:sz w:val="20"/>
                <w:szCs w:val="20"/>
                <w:lang w:val="en-GB"/>
              </w:rPr>
              <w:t>Cycle /</w:t>
            </w: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Level</w:t>
            </w:r>
          </w:p>
        </w:tc>
        <w:tc>
          <w:tcPr>
            <w:tcW w:w="6947" w:type="dxa"/>
          </w:tcPr>
          <w:p w14:paraId="76255D71" w14:textId="77777777" w:rsidR="000C3049" w:rsidRPr="001C3BF2" w:rsidRDefault="00716613" w:rsidP="00AF5E89">
            <w:pPr>
              <w:spacing w:line="240" w:lineRule="auto"/>
              <w:jc w:val="both"/>
              <w:rPr>
                <w:rFonts w:cs="Arial"/>
                <w:color w:val="808080"/>
                <w:sz w:val="20"/>
                <w:szCs w:val="20"/>
                <w:lang w:val="en-GB"/>
              </w:rPr>
            </w:pPr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 xml:space="preserve">QF for EHEA: </w:t>
            </w:r>
            <w:r w:rsidR="00AF5E89">
              <w:rPr>
                <w:rFonts w:ascii="Arial-Narrow" w:hAnsi="Arial-Narrow" w:cs="Arial-Narrow"/>
                <w:sz w:val="23"/>
                <w:szCs w:val="23"/>
                <w:lang w:val="en-US"/>
              </w:rPr>
              <w:t>2nd</w:t>
            </w:r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 xml:space="preserve"> Cycle; NQF for Italy: </w:t>
            </w:r>
            <w:proofErr w:type="spellStart"/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>Laurea</w:t>
            </w:r>
            <w:proofErr w:type="spellEnd"/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AF5E89">
              <w:rPr>
                <w:rFonts w:ascii="Arial-Narrow" w:hAnsi="Arial-Narrow" w:cs="Arial-Narrow"/>
                <w:sz w:val="23"/>
                <w:szCs w:val="23"/>
                <w:lang w:val="en-US"/>
              </w:rPr>
              <w:t>Magistrale</w:t>
            </w:r>
            <w:proofErr w:type="spellEnd"/>
          </w:p>
        </w:tc>
      </w:tr>
      <w:tr w:rsidR="000C3049" w:rsidRPr="00EA037E" w14:paraId="479E1DCA" w14:textId="77777777" w:rsidTr="00056A08">
        <w:tc>
          <w:tcPr>
            <w:tcW w:w="361" w:type="dxa"/>
            <w:tcBorders>
              <w:left w:val="nil"/>
              <w:right w:val="nil"/>
            </w:tcBorders>
          </w:tcPr>
          <w:p w14:paraId="1FF703D0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625A14D5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34DE1A27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049" w:rsidRPr="00190AF5" w14:paraId="7C4D7ECE" w14:textId="77777777" w:rsidTr="00056A08">
        <w:tc>
          <w:tcPr>
            <w:tcW w:w="361" w:type="dxa"/>
          </w:tcPr>
          <w:p w14:paraId="17E99D23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a</w:t>
            </w:r>
          </w:p>
        </w:tc>
        <w:tc>
          <w:tcPr>
            <w:tcW w:w="9287" w:type="dxa"/>
            <w:gridSpan w:val="2"/>
          </w:tcPr>
          <w:p w14:paraId="783DF784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Purpose </w:t>
            </w:r>
          </w:p>
        </w:tc>
      </w:tr>
      <w:tr w:rsidR="000C3049" w:rsidRPr="00EA037E" w14:paraId="7B1F2961" w14:textId="77777777" w:rsidTr="00056A08">
        <w:tc>
          <w:tcPr>
            <w:tcW w:w="361" w:type="dxa"/>
          </w:tcPr>
          <w:p w14:paraId="4406AEC7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</w:tcPr>
          <w:p w14:paraId="4F6BF191" w14:textId="77777777" w:rsidR="000C3049" w:rsidRPr="00156E6D" w:rsidRDefault="001E4846" w:rsidP="00156E6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 2nd Cycle Degree (Bachelor) in Management, Economics and Finance integrates management, economical, financial concepts </w:t>
            </w:r>
            <w:proofErr w:type="gramStart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>in a technical and innovative settings</w:t>
            </w:r>
            <w:proofErr w:type="gramEnd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as required by today’s dynamic business environment.</w:t>
            </w:r>
            <w:r w:rsidR="000C3049" w:rsidRPr="00F3141D">
              <w:rPr>
                <w:rFonts w:cs="Arial"/>
                <w:color w:val="A6A6A6"/>
                <w:sz w:val="20"/>
                <w:szCs w:val="20"/>
                <w:lang w:val="en-GB"/>
              </w:rPr>
              <w:t xml:space="preserve"> </w:t>
            </w:r>
          </w:p>
        </w:tc>
      </w:tr>
      <w:tr w:rsidR="000C3049" w:rsidRPr="00EA037E" w14:paraId="4D61C01C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8" w:type="dxa"/>
            <w:gridSpan w:val="3"/>
          </w:tcPr>
          <w:p w14:paraId="7583690B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0C3049" w:rsidRPr="00156E6D" w14:paraId="2507177B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C86A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b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66F9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characteristics </w:t>
            </w:r>
          </w:p>
        </w:tc>
      </w:tr>
      <w:tr w:rsidR="000C3049" w:rsidRPr="00EA037E" w14:paraId="3B2F5D20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5EE" w14:textId="77777777" w:rsidR="000C3049" w:rsidRPr="00190AF5" w:rsidRDefault="000C3049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070" w14:textId="77777777" w:rsidR="000C3049" w:rsidRPr="00190AF5" w:rsidRDefault="000C3049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proofErr w:type="gramStart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Discipline(</w:t>
            </w:r>
            <w:proofErr w:type="gramEnd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s) / Subject area(s)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7C47" w14:textId="77777777" w:rsidR="000C3049" w:rsidRPr="00156E6D" w:rsidRDefault="00156E6D" w:rsidP="00056A08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156E6D">
              <w:rPr>
                <w:rFonts w:cs="Arial"/>
                <w:sz w:val="20"/>
                <w:szCs w:val="20"/>
                <w:lang w:val="en-US"/>
              </w:rPr>
              <w:t>Strong theoretical basis in management, economical, financial areas.</w:t>
            </w:r>
            <w:r w:rsidR="000C3049" w:rsidRPr="00156E6D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8D158B" w:rsidRPr="00EA037E" w14:paraId="669020C5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A58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403" w14:textId="77777777" w:rsidR="008D158B" w:rsidRPr="00190AF5" w:rsidRDefault="008D158B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General / Specialist focus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353" w14:textId="77777777" w:rsidR="008D158B" w:rsidRPr="00406664" w:rsidRDefault="008D158B" w:rsidP="008D158B">
            <w:pPr>
              <w:pStyle w:val="Default"/>
              <w:rPr>
                <w:rFonts w:ascii="Arial-Narrow" w:eastAsiaTheme="minorEastAsia" w:hAnsi="Arial-Narrow" w:cs="Arial-Narrow"/>
                <w:sz w:val="22"/>
                <w:szCs w:val="22"/>
                <w:lang w:val="en-US"/>
              </w:rPr>
            </w:pPr>
            <w:r w:rsidRPr="00406664">
              <w:rPr>
                <w:rFonts w:ascii="Arial-Narrow" w:eastAsiaTheme="minorEastAsia" w:hAnsi="Arial-Narrow" w:cs="Arial-Narrow"/>
                <w:sz w:val="22"/>
                <w:szCs w:val="22"/>
                <w:lang w:val="en-US"/>
              </w:rPr>
              <w:t xml:space="preserve">Specialist on Economics and Business and administration, with a distinctive focus on the professional exercise in highly qualified sectors. </w:t>
            </w:r>
          </w:p>
        </w:tc>
      </w:tr>
      <w:tr w:rsidR="008D158B" w:rsidRPr="00EA037E" w14:paraId="7146CBD4" w14:textId="77777777" w:rsidTr="007622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98F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453" w14:textId="77777777" w:rsidR="008D158B" w:rsidRPr="00190AF5" w:rsidRDefault="008D158B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Orientation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B1AA" w14:textId="77777777" w:rsidR="008D158B" w:rsidRPr="00406664" w:rsidRDefault="008D158B" w:rsidP="008D158B">
            <w:pPr>
              <w:pStyle w:val="Default"/>
              <w:rPr>
                <w:rFonts w:ascii="Arial-Narrow" w:eastAsiaTheme="minorEastAsia" w:hAnsi="Arial-Narrow" w:cs="Arial-Narrow"/>
                <w:sz w:val="22"/>
                <w:szCs w:val="22"/>
                <w:lang w:val="en-US"/>
              </w:rPr>
            </w:pPr>
            <w:r w:rsidRPr="00406664">
              <w:rPr>
                <w:rFonts w:ascii="Arial-Narrow" w:eastAsiaTheme="minorEastAsia" w:hAnsi="Arial-Narrow" w:cs="Arial-Narrow"/>
                <w:sz w:val="22"/>
                <w:szCs w:val="22"/>
                <w:lang w:val="en-US"/>
              </w:rPr>
              <w:t xml:space="preserve">It is an academic degree with a strong professional orientation. </w:t>
            </w:r>
          </w:p>
        </w:tc>
      </w:tr>
      <w:tr w:rsidR="008D158B" w:rsidRPr="00EA037E" w14:paraId="1C06D069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4A2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4FD" w14:textId="77777777" w:rsidR="008D158B" w:rsidRPr="00190AF5" w:rsidRDefault="008D158B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Distinctive features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B75" w14:textId="77777777" w:rsidR="008D158B" w:rsidRPr="00406664" w:rsidRDefault="008D158B" w:rsidP="0045212B">
            <w:pPr>
              <w:pStyle w:val="Default"/>
              <w:jc w:val="both"/>
              <w:rPr>
                <w:rFonts w:ascii="Arial-Narrow" w:eastAsiaTheme="minorEastAsia" w:hAnsi="Arial-Narrow" w:cs="Arial-Narrow"/>
                <w:sz w:val="22"/>
                <w:szCs w:val="22"/>
                <w:lang w:val="en-US"/>
              </w:rPr>
            </w:pPr>
            <w:r w:rsidRPr="00406664">
              <w:rPr>
                <w:rFonts w:ascii="Arial-Narrow" w:eastAsiaTheme="minorEastAsia" w:hAnsi="Arial-Narrow" w:cs="Arial-Narrow"/>
                <w:sz w:val="22"/>
                <w:szCs w:val="22"/>
                <w:lang w:val="en-US"/>
              </w:rPr>
              <w:t xml:space="preserve">This degree has a strong scientific component in an interdisciplinary learning context and is developed in a stimulating research environment. Students have a 3/6-months placement in companies in Italy and/or abroad for on-field working experiences and research activities. </w:t>
            </w:r>
          </w:p>
        </w:tc>
      </w:tr>
      <w:tr w:rsidR="008D158B" w:rsidRPr="00EA037E" w14:paraId="039E8E27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4C761BDE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6A17F7AD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3485947F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D158B" w:rsidRPr="00190AF5" w14:paraId="46342914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29D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C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6F0" w14:textId="77777777" w:rsidR="008D158B" w:rsidRPr="00190AF5" w:rsidRDefault="008D158B" w:rsidP="00F77855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employability </w:t>
            </w:r>
          </w:p>
        </w:tc>
      </w:tr>
      <w:tr w:rsidR="008D158B" w:rsidRPr="00EA037E" w14:paraId="0FC6FCDB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E54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319" w14:textId="77777777" w:rsidR="008D158B" w:rsidRPr="00190AF5" w:rsidRDefault="008D158B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Employability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CBE" w14:textId="77777777" w:rsidR="008D158B" w:rsidRDefault="00C95C08" w:rsidP="00C95C08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E443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As a result of completing this program, students should have a strong knowledge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of</w:t>
            </w:r>
            <w:r w:rsidRPr="00B8462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techniques and methods as a business consultants, managers, economical professional services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. </w:t>
            </w:r>
            <w:r w:rsidRPr="00346471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They also should be able to work in management and control, marketing,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business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, financial and human resources </w:t>
            </w:r>
            <w:r w:rsidRPr="00346471">
              <w:rPr>
                <w:rFonts w:ascii="Helvetica" w:hAnsi="Helvetica" w:cs="Helvetica"/>
                <w:sz w:val="20"/>
                <w:szCs w:val="20"/>
                <w:lang w:val="en-US"/>
              </w:rPr>
              <w:t>areas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.</w:t>
            </w:r>
          </w:p>
          <w:p w14:paraId="6B53FABC" w14:textId="77777777" w:rsidR="0056319D" w:rsidRPr="00C95C08" w:rsidRDefault="0056319D" w:rsidP="0056319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>The 2nd Cycle Degree (Bachelor) in Management, Economics and Finance prepares students t</w:t>
            </w:r>
            <w:r w:rsidR="00025CBB">
              <w:rPr>
                <w:rFonts w:ascii="Helvetica" w:hAnsi="Helvetica" w:cs="Helvetica"/>
                <w:sz w:val="20"/>
                <w:szCs w:val="20"/>
                <w:lang w:val="en-US"/>
              </w:rPr>
              <w:t>o work as a business consultant</w:t>
            </w:r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and to fur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n</w:t>
            </w:r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ish professional services (Certified Accountant, </w:t>
            </w:r>
            <w:proofErr w:type="spellStart"/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>sez</w:t>
            </w:r>
            <w:proofErr w:type="spellEnd"/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A). </w:t>
            </w:r>
            <w:r w:rsidRPr="004F7E80">
              <w:rPr>
                <w:rFonts w:ascii="Helvetica" w:hAnsi="Helvetica" w:cs="Helvetica"/>
                <w:sz w:val="20"/>
                <w:szCs w:val="20"/>
                <w:lang w:val="en-US"/>
              </w:rPr>
              <w:t>The program prepares students for entry into management careers. They should be business and administrative managers, planning and control managers, chief financial officers, sales managers, human resources manage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rs.</w:t>
            </w:r>
          </w:p>
        </w:tc>
      </w:tr>
      <w:tr w:rsidR="008D158B" w:rsidRPr="00EA037E" w14:paraId="13A96349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5FDF0917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sz w:val="20"/>
                <w:szCs w:val="20"/>
                <w:lang w:val="en-GB"/>
              </w:rPr>
              <w:lastRenderedPageBreak/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A6CA5A7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051BB989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D158B" w:rsidRPr="00190AF5" w14:paraId="558871C0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8EE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d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241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education style</w:t>
            </w:r>
          </w:p>
        </w:tc>
      </w:tr>
      <w:tr w:rsidR="000D7B0D" w:rsidRPr="00EA037E" w14:paraId="3D64D7C0" w14:textId="77777777" w:rsidTr="0059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04B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C83" w14:textId="77777777" w:rsidR="000D7B0D" w:rsidRPr="00190AF5" w:rsidRDefault="000D7B0D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Learning &amp; Teaching Approaches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53C1" w14:textId="208A1848" w:rsidR="000D7B0D" w:rsidRPr="00AD47D4" w:rsidRDefault="000D7B0D" w:rsidP="00333CBF">
            <w:pPr>
              <w:pStyle w:val="Default"/>
              <w:rPr>
                <w:rFonts w:ascii="Arial-Narrow" w:hAnsi="Arial-Narrow" w:cs="Arial-Narrow"/>
                <w:sz w:val="22"/>
                <w:szCs w:val="22"/>
                <w:lang w:val="en-US"/>
              </w:rPr>
            </w:pP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Lectures, group-work, individual study and autonomous learning, </w:t>
            </w:r>
            <w:proofErr w:type="spellStart"/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>i</w:t>
            </w:r>
            <w:r w:rsidR="00D90B93">
              <w:rPr>
                <w:rFonts w:ascii="Arial-Narrow" w:hAnsi="Arial-Narrow" w:cs="Arial-Narrow"/>
                <w:sz w:val="22"/>
                <w:szCs w:val="22"/>
                <w:lang w:val="en-US"/>
              </w:rPr>
              <w:t>nterprofessional</w:t>
            </w:r>
            <w:proofErr w:type="spellEnd"/>
            <w:r w:rsidR="00D90B93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 training, self-</w:t>
            </w: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directed learning program and work placement. </w:t>
            </w:r>
          </w:p>
        </w:tc>
      </w:tr>
      <w:tr w:rsidR="000D7B0D" w:rsidRPr="00EA037E" w14:paraId="7FC1D879" w14:textId="77777777" w:rsidTr="00590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2E9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D65" w14:textId="77777777" w:rsidR="000D7B0D" w:rsidRPr="00190AF5" w:rsidRDefault="000D7B0D" w:rsidP="00056A08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Assessment methods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D2FB" w14:textId="77777777" w:rsidR="000D7B0D" w:rsidRPr="00AD47D4" w:rsidRDefault="000D7B0D" w:rsidP="00333CBF">
            <w:pPr>
              <w:pStyle w:val="Default"/>
              <w:rPr>
                <w:rFonts w:ascii="Arial-Narrow" w:hAnsi="Arial-Narrow" w:cs="Arial-Narrow"/>
                <w:sz w:val="22"/>
                <w:szCs w:val="22"/>
                <w:lang w:val="en-US"/>
              </w:rPr>
            </w:pP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Assessment is normally by means of an oral or written examination. The final exam consists in the discussion of an original work, carried out under the supervision of a professor, and described through a written text. It is aimed at demonstrate that the candidate has acquired the essential professional skills and competencies related to the professional profile. </w:t>
            </w:r>
          </w:p>
        </w:tc>
      </w:tr>
      <w:tr w:rsidR="000D7B0D" w:rsidRPr="00EA037E" w14:paraId="1EDA0AFC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4A9A8C5F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6080070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1C05A00E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D7B0D" w:rsidRPr="00EA037E" w14:paraId="26F68CBD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D7B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E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98C" w14:textId="77777777" w:rsidR="000D7B0D" w:rsidRPr="00373FCC" w:rsidRDefault="000D7B0D" w:rsidP="00056A08">
            <w:pPr>
              <w:spacing w:after="0"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programme competences </w:t>
            </w:r>
          </w:p>
        </w:tc>
      </w:tr>
      <w:tr w:rsidR="000D7B0D" w:rsidRPr="00190AF5" w14:paraId="1908E105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012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256" w14:textId="77777777" w:rsidR="000D7B0D" w:rsidRPr="00462051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Generic</w:t>
            </w:r>
          </w:p>
        </w:tc>
      </w:tr>
      <w:tr w:rsidR="000D7B0D" w:rsidRPr="00EA037E" w14:paraId="5831A69B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4401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CE9" w14:textId="77777777" w:rsidR="004D5D2D" w:rsidRPr="002351C9" w:rsidRDefault="004D5D2D" w:rsidP="004D5D2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2351C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 program prepares students, in order to acquire </w:t>
            </w:r>
          </w:p>
          <w:p w14:paraId="27C2A002" w14:textId="77777777" w:rsidR="004D5D2D" w:rsidRDefault="004D5D2D" w:rsidP="004D5D2D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Analysis and synthesis: </w:t>
            </w:r>
          </w:p>
          <w:p w14:paraId="70812A64" w14:textId="77777777" w:rsidR="00373FCC" w:rsidRPr="004D5D2D" w:rsidRDefault="00373FCC" w:rsidP="004D5D2D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7014A0">
              <w:rPr>
                <w:rFonts w:ascii="Helvetica" w:hAnsi="Helvetica" w:cs="Helvetica"/>
                <w:sz w:val="20"/>
                <w:szCs w:val="20"/>
                <w:lang w:val="en-US"/>
              </w:rPr>
              <w:t>Strong knowledge in business and economics;</w:t>
            </w:r>
          </w:p>
          <w:p w14:paraId="26442AFA" w14:textId="5AF7C03F" w:rsidR="00373FCC" w:rsidRPr="00D214C3" w:rsidRDefault="00373FCC" w:rsidP="00373F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proofErr w:type="gramStart"/>
            <w:r w:rsidRPr="00D214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understanding</w:t>
            </w:r>
            <w:proofErr w:type="gramEnd"/>
            <w:r w:rsidRPr="00D214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of subject matter related to accounting, communication theory and practices, computing and information systems, manage</w:t>
            </w:r>
            <w:r w:rsidR="00D90B9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ment science, organizational </w:t>
            </w:r>
            <w:proofErr w:type="spellStart"/>
            <w:r w:rsidR="00D90B9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be</w:t>
            </w:r>
            <w:r w:rsidR="00B8310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h</w:t>
            </w:r>
            <w:r w:rsidRPr="00D214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aviour</w:t>
            </w:r>
            <w:proofErr w:type="spellEnd"/>
            <w:r w:rsidRPr="00D214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, economics, and business/commercial law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;</w:t>
            </w:r>
          </w:p>
          <w:p w14:paraId="20317AFC" w14:textId="77777777" w:rsidR="00373FCC" w:rsidRPr="004D5D2D" w:rsidRDefault="00373FCC" w:rsidP="00373F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development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of original principles or models useful in management.</w:t>
            </w:r>
          </w:p>
          <w:p w14:paraId="6D97161D" w14:textId="77777777" w:rsidR="00B83107" w:rsidRDefault="00B83107" w:rsidP="004D5D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t-IT"/>
              </w:rPr>
            </w:pPr>
          </w:p>
          <w:p w14:paraId="2547D7EF" w14:textId="77777777" w:rsidR="004D5D2D" w:rsidRDefault="004D5D2D" w:rsidP="004D5D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it-IT"/>
              </w:rPr>
              <w:t>Flexible mind:</w:t>
            </w:r>
          </w:p>
          <w:p w14:paraId="5033C31D" w14:textId="77777777" w:rsidR="00A21413" w:rsidRPr="006158F2" w:rsidRDefault="00A21413" w:rsidP="00A21413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proofErr w:type="gramStart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ability</w:t>
            </w:r>
            <w:proofErr w:type="gramEnd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conceive innovative solutions in the subject matter;</w:t>
            </w:r>
          </w:p>
          <w:p w14:paraId="6CD120D3" w14:textId="77777777" w:rsidR="003C2420" w:rsidRPr="003E4507" w:rsidRDefault="003C2420" w:rsidP="003C24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3C2420">
              <w:rPr>
                <w:rFonts w:ascii="Helvetica" w:hAnsi="Helvetica" w:cs="Helvetica"/>
                <w:sz w:val="20"/>
                <w:szCs w:val="20"/>
                <w:lang w:val="en-US"/>
              </w:rPr>
              <w:t>a</w:t>
            </w:r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bility</w:t>
            </w:r>
            <w:proofErr w:type="gramEnd"/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apply knowledge 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both in hypothetical (research) and in practical situations</w:t>
            </w:r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58383F95" w14:textId="37DD92BC" w:rsidR="00B83107" w:rsidRDefault="003C2420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providing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critical thinking to complex tasks and multi-faceted projects</w:t>
            </w:r>
            <w:r w:rsidR="00607845">
              <w:rPr>
                <w:rFonts w:ascii="Helvetica" w:hAnsi="Helvetica" w:cs="Helvetica"/>
                <w:sz w:val="20"/>
                <w:szCs w:val="20"/>
                <w:lang w:val="en-US"/>
              </w:rPr>
              <w:t>.</w:t>
            </w:r>
          </w:p>
          <w:p w14:paraId="4A52F769" w14:textId="77777777" w:rsidR="00607845" w:rsidRPr="00607845" w:rsidRDefault="00607845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080659D1" w14:textId="77777777" w:rsidR="003C2420" w:rsidRDefault="00FE2964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Problem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solving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capacity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:</w:t>
            </w:r>
            <w:r w:rsidR="003C2420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  <w:p w14:paraId="76B05275" w14:textId="77777777" w:rsidR="003C2420" w:rsidRPr="00832BCA" w:rsidRDefault="003C2420" w:rsidP="003C242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832BCA">
              <w:rPr>
                <w:rFonts w:ascii="Helvetica" w:hAnsi="Helvetica" w:cs="Helvetica"/>
                <w:sz w:val="20"/>
                <w:szCs w:val="20"/>
                <w:lang w:val="en-US"/>
              </w:rPr>
              <w:t>problem</w:t>
            </w:r>
            <w:proofErr w:type="gramEnd"/>
            <w:r w:rsidRPr="00832BCA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solving capacity in business and economics management areas;</w:t>
            </w:r>
          </w:p>
          <w:p w14:paraId="05BABA57" w14:textId="4E419A6B" w:rsidR="00FE2964" w:rsidRPr="00CD1A8F" w:rsidRDefault="00FE2964" w:rsidP="00FE2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>ability</w:t>
            </w:r>
            <w:proofErr w:type="gramEnd"/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conceive </w:t>
            </w:r>
            <w:r w:rsidR="00B83107">
              <w:rPr>
                <w:rFonts w:ascii="Helvetica" w:hAnsi="Helvetica" w:cs="Helvetica"/>
                <w:sz w:val="20"/>
                <w:szCs w:val="20"/>
                <w:lang w:val="en-US"/>
              </w:rPr>
              <w:t>innovative</w:t>
            </w:r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solutions in business and economics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.</w:t>
            </w:r>
          </w:p>
          <w:p w14:paraId="00EC2A73" w14:textId="77777777" w:rsidR="00B83107" w:rsidRDefault="00B83107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</w:p>
          <w:p w14:paraId="678B421E" w14:textId="77777777" w:rsidR="00FE2964" w:rsidRPr="00FE2964" w:rsidRDefault="00FE2964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FE296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>Team work and communication skills:</w:t>
            </w:r>
          </w:p>
          <w:p w14:paraId="647460AC" w14:textId="77777777" w:rsidR="00FE2964" w:rsidRPr="003C2420" w:rsidRDefault="00FE2964" w:rsidP="00FE2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a</w:t>
            </w:r>
            <w:r w:rsidRPr="003C2420"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bility</w:t>
            </w:r>
            <w:proofErr w:type="gramEnd"/>
            <w:r w:rsidRPr="003C2420"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 xml:space="preserve"> to work in team;</w:t>
            </w:r>
          </w:p>
          <w:p w14:paraId="216AFBEF" w14:textId="77777777" w:rsidR="00FE2964" w:rsidRDefault="00FE2964" w:rsidP="00FE2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>ability</w:t>
            </w:r>
            <w:proofErr w:type="gramEnd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perform in a formal team leadership role beyond work responsibilities, in community;</w:t>
            </w:r>
          </w:p>
          <w:p w14:paraId="2F9260A2" w14:textId="77777777" w:rsidR="00FE2964" w:rsidRPr="00087DC9" w:rsidRDefault="00FE2964" w:rsidP="00FE29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abilit</w:t>
            </w:r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>y</w:t>
            </w:r>
            <w:proofErr w:type="gramEnd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communicate ideas, problems and solutions in business and administrative areas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1D91F694" w14:textId="77777777" w:rsidR="00FE2964" w:rsidRPr="006158F2" w:rsidRDefault="00FE2964" w:rsidP="00FE2964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proofErr w:type="gramStart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provide</w:t>
            </w:r>
            <w:proofErr w:type="gramEnd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 leadership role.</w:t>
            </w:r>
          </w:p>
          <w:p w14:paraId="164E8F70" w14:textId="77777777" w:rsidR="00607845" w:rsidRDefault="00607845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03AD4970" w14:textId="77777777" w:rsidR="003C2420" w:rsidRDefault="003C2420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Critical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thinking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.</w:t>
            </w:r>
          </w:p>
          <w:p w14:paraId="29E6ED9C" w14:textId="77777777" w:rsidR="003C2420" w:rsidRDefault="003C2420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AC22B1">
              <w:rPr>
                <w:rFonts w:ascii="Helvetica" w:hAnsi="Helvetica" w:cs="Helvetica"/>
                <w:sz w:val="20"/>
                <w:szCs w:val="20"/>
                <w:lang w:val="en-US"/>
              </w:rPr>
              <w:t>Understanding of critical-thinking frameworks and capacity of demonstrating criti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cal thinking in most situations;</w:t>
            </w:r>
          </w:p>
          <w:p w14:paraId="1B363BB0" w14:textId="77777777" w:rsidR="003C2420" w:rsidRDefault="003C2420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providing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critical thinking to complex tasks and multi-faceted projects</w:t>
            </w:r>
            <w:r w:rsidRPr="00AC22B1"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5EE18172" w14:textId="77777777" w:rsidR="00607845" w:rsidRDefault="00607845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31694C80" w14:textId="77777777" w:rsidR="003C2420" w:rsidRDefault="003C2420" w:rsidP="003C242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ability</w:t>
            </w:r>
            <w:proofErr w:type="spellEnd"/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. </w:t>
            </w:r>
          </w:p>
          <w:p w14:paraId="2FA894AE" w14:textId="77777777" w:rsidR="003C2420" w:rsidRDefault="003C2420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>Ability to assess and evaluate the experience and learn from it;</w:t>
            </w:r>
          </w:p>
          <w:p w14:paraId="715CAA4E" w14:textId="77777777" w:rsidR="003C2420" w:rsidRPr="00CD1A8F" w:rsidRDefault="003C2420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showing awareness of theories;</w:t>
            </w:r>
          </w:p>
          <w:p w14:paraId="0AFE5D0A" w14:textId="77777777" w:rsidR="003C2420" w:rsidRPr="00D25A05" w:rsidRDefault="003C2420" w:rsidP="003C24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D25A05"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 w:rsidRPr="00D25A05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autonomously studying and learning business and economics topics. </w:t>
            </w:r>
          </w:p>
          <w:p w14:paraId="5B43EEEB" w14:textId="77777777" w:rsidR="000D7B0D" w:rsidRPr="00702F87" w:rsidRDefault="000D7B0D" w:rsidP="00CE0C9D">
            <w:pPr>
              <w:spacing w:after="0" w:line="240" w:lineRule="auto"/>
              <w:jc w:val="both"/>
              <w:rPr>
                <w:rFonts w:cs="Arial"/>
                <w:color w:val="808080"/>
                <w:szCs w:val="18"/>
                <w:lang w:val="en-US"/>
              </w:rPr>
            </w:pPr>
          </w:p>
        </w:tc>
      </w:tr>
      <w:tr w:rsidR="000D7B0D" w:rsidRPr="00190AF5" w14:paraId="2030549E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E1B" w14:textId="6BEA4B10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lastRenderedPageBreak/>
              <w:t>2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477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Subject specific </w:t>
            </w:r>
          </w:p>
        </w:tc>
      </w:tr>
      <w:tr w:rsidR="000D7B0D" w:rsidRPr="00EA037E" w14:paraId="0961C471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B64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BCB" w14:textId="2159C42D" w:rsidR="00A24539" w:rsidRDefault="00A24539" w:rsidP="00A24539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>The 2nd Cycle Degree (Bachelor) in Management, Economics and Finance prepares students t</w:t>
            </w:r>
            <w:r w:rsidR="00607845">
              <w:rPr>
                <w:rFonts w:ascii="Helvetica" w:hAnsi="Helvetica" w:cs="Helvetica"/>
                <w:sz w:val="20"/>
                <w:szCs w:val="20"/>
                <w:lang w:val="en-US"/>
              </w:rPr>
              <w:t>o work as a business consultant</w:t>
            </w:r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and to fur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n</w:t>
            </w:r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ish professional services (Certified Accountant, </w:t>
            </w:r>
            <w:proofErr w:type="spellStart"/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>sez</w:t>
            </w:r>
            <w:proofErr w:type="spellEnd"/>
            <w:r w:rsidRPr="00C46B4E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A). </w:t>
            </w:r>
            <w:r w:rsidRPr="004F7E80">
              <w:rPr>
                <w:rFonts w:ascii="Helvetica" w:hAnsi="Helvetica" w:cs="Helvetica"/>
                <w:sz w:val="20"/>
                <w:szCs w:val="20"/>
                <w:lang w:val="en-US"/>
              </w:rPr>
              <w:t>The program prepares students for entry into management careers. They should be business and administrative managers, planning and control managers, chief financial officers, sales managers, human resources manage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rs.</w:t>
            </w:r>
          </w:p>
          <w:p w14:paraId="40899D50" w14:textId="05A73C07" w:rsidR="000D7B0D" w:rsidRPr="00E12DB6" w:rsidRDefault="00A24539" w:rsidP="00E12DB6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At the end of the Course, students should acquire a strong </w:t>
            </w:r>
            <w:r w:rsidRPr="00B84622">
              <w:rPr>
                <w:rFonts w:ascii="Helvetica" w:hAnsi="Helvetica" w:cs="Helvetica"/>
                <w:sz w:val="20"/>
                <w:szCs w:val="20"/>
                <w:lang w:val="en-US"/>
              </w:rPr>
              <w:t>knowledge of techniques and m</w:t>
            </w:r>
            <w:r w:rsidR="00607845">
              <w:rPr>
                <w:rFonts w:ascii="Helvetica" w:hAnsi="Helvetica" w:cs="Helvetica"/>
                <w:sz w:val="20"/>
                <w:szCs w:val="20"/>
                <w:lang w:val="en-US"/>
              </w:rPr>
              <w:t>ethods as a business consultant</w:t>
            </w:r>
            <w:bookmarkStart w:id="0" w:name="_GoBack"/>
            <w:bookmarkEnd w:id="0"/>
            <w:r w:rsidRPr="00B84622">
              <w:rPr>
                <w:rFonts w:ascii="Helvetica" w:hAnsi="Helvetica" w:cs="Helvetica"/>
                <w:sz w:val="20"/>
                <w:szCs w:val="20"/>
                <w:lang w:val="en-US"/>
              </w:rPr>
              <w:t>, managers, economical professional services</w:t>
            </w:r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. More specifically, they should </w:t>
            </w:r>
            <w:r w:rsidR="00A3324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demonstrate understanding </w:t>
            </w:r>
            <w:r w:rsidR="00A33247" w:rsidRPr="00D214C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of subject matter related to accounting, communication theory and practices, computing and information systems, management science, organization, economics, and business/commercial law</w:t>
            </w:r>
            <w:r w:rsidR="00E12DB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; a</w:t>
            </w:r>
            <w:r w:rsidR="00A33247"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bility to apply </w:t>
            </w:r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their </w:t>
            </w:r>
            <w:r w:rsidR="00A33247"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knowledge </w:t>
            </w:r>
            <w:r w:rsidR="00A33247"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both in hypothetical (research) and in practical situations</w:t>
            </w:r>
            <w:r w:rsidR="00A33247"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ability to </w:t>
            </w:r>
            <w:proofErr w:type="spellStart"/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>analyse</w:t>
            </w:r>
            <w:proofErr w:type="spellEnd"/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situations and conceive, propose, compare different solutions; </w:t>
            </w:r>
            <w:r w:rsidR="00E12DB6"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ability to c</w:t>
            </w:r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>reate</w:t>
            </w:r>
            <w:r w:rsidR="00E12DB6"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innovative solutions</w:t>
            </w:r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; ability to express their opinion; </w:t>
            </w:r>
            <w:r w:rsidR="00E12DB6" w:rsidRPr="00AC22B1">
              <w:rPr>
                <w:rFonts w:ascii="Helvetica" w:hAnsi="Helvetica" w:cs="Helvetica"/>
                <w:sz w:val="20"/>
                <w:szCs w:val="20"/>
                <w:lang w:val="en-US"/>
              </w:rPr>
              <w:t>capacity of leadership in coaching, training and supporting others</w:t>
            </w:r>
            <w:r w:rsidR="00E12DB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. </w:t>
            </w:r>
          </w:p>
          <w:p w14:paraId="7A64D58F" w14:textId="77777777" w:rsidR="000D7B0D" w:rsidRPr="001C3BF2" w:rsidRDefault="000D7B0D" w:rsidP="00056A08">
            <w:pPr>
              <w:spacing w:line="240" w:lineRule="auto"/>
              <w:jc w:val="both"/>
              <w:rPr>
                <w:rFonts w:ascii="Arial" w:hAnsi="Arial" w:cs="Arial"/>
                <w:smallCaps/>
                <w:color w:val="808080"/>
                <w:sz w:val="20"/>
                <w:szCs w:val="20"/>
                <w:lang w:val="en-GB"/>
              </w:rPr>
            </w:pPr>
          </w:p>
        </w:tc>
      </w:tr>
      <w:tr w:rsidR="000D7B0D" w:rsidRPr="00EA037E" w14:paraId="100ED0C6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06B9CF56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153D722" w14:textId="77777777" w:rsidR="000D7B0D" w:rsidRPr="001C3BF2" w:rsidRDefault="000D7B0D" w:rsidP="00056A0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2870F25E" w14:textId="77777777" w:rsidR="000D7B0D" w:rsidRPr="001C3BF2" w:rsidRDefault="000D7B0D" w:rsidP="00056A0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7B0D" w:rsidRPr="00EA037E" w14:paraId="32A19C9A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007E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f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CF9" w14:textId="77777777" w:rsidR="000D7B0D" w:rsidRPr="001C3BF2" w:rsidRDefault="000D7B0D" w:rsidP="00056A08">
            <w:pPr>
              <w:spacing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C3BF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Complete list of </w:t>
            </w:r>
            <w:proofErr w:type="gramStart"/>
            <w:r w:rsidRPr="001C3BF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programme  learning</w:t>
            </w:r>
            <w:proofErr w:type="gramEnd"/>
            <w:r w:rsidRPr="001C3BF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 outcomes </w:t>
            </w:r>
          </w:p>
        </w:tc>
      </w:tr>
      <w:tr w:rsidR="000D7B0D" w:rsidRPr="0060040A" w14:paraId="7D6C0792" w14:textId="77777777" w:rsidTr="00056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6DC" w14:textId="77777777" w:rsidR="000D7B0D" w:rsidRPr="00190AF5" w:rsidRDefault="000D7B0D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63D" w14:textId="77777777" w:rsidR="00A5735D" w:rsidRPr="00C95C08" w:rsidRDefault="00A5735D" w:rsidP="00A5735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95C08">
              <w:rPr>
                <w:rFonts w:ascii="Helvetica" w:hAnsi="Helvetica" w:cs="Helvetica"/>
                <w:sz w:val="20"/>
                <w:szCs w:val="20"/>
                <w:lang w:val="en-US"/>
              </w:rPr>
              <w:t>The training program includes courses</w:t>
            </w:r>
          </w:p>
          <w:p w14:paraId="0995CB38" w14:textId="77777777" w:rsidR="00A5735D" w:rsidRPr="00D85ADF" w:rsidRDefault="00A5735D" w:rsidP="00A57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D85ADF">
              <w:rPr>
                <w:rFonts w:ascii="Helvetica" w:hAnsi="Helvetica" w:cs="Helvetica"/>
                <w:sz w:val="20"/>
                <w:szCs w:val="20"/>
                <w:lang w:val="en-US"/>
              </w:rPr>
              <w:t>in</w:t>
            </w:r>
            <w:proofErr w:type="gramEnd"/>
            <w:r w:rsidRPr="00D85AD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business (business management, business economics and management, finance, business administration,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economics of financial intermediations</w:t>
            </w:r>
            <w:r w:rsidRPr="00D85ADF">
              <w:rPr>
                <w:rFonts w:ascii="Helvetica" w:hAnsi="Helvetica" w:cs="Helvetica"/>
                <w:sz w:val="20"/>
                <w:szCs w:val="20"/>
                <w:lang w:val="en-US"/>
              </w:rPr>
              <w:t>);</w:t>
            </w:r>
          </w:p>
          <w:p w14:paraId="52A1DAA4" w14:textId="77777777" w:rsidR="00A5735D" w:rsidRDefault="00A5735D" w:rsidP="00A57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85ADF">
              <w:rPr>
                <w:rFonts w:ascii="Helvetica" w:hAnsi="Helvetica" w:cs="Helvetica"/>
                <w:sz w:val="20"/>
                <w:szCs w:val="20"/>
              </w:rPr>
              <w:t xml:space="preserve">in </w:t>
            </w:r>
            <w:proofErr w:type="spellStart"/>
            <w:r w:rsidRPr="00D85ADF">
              <w:rPr>
                <w:rFonts w:ascii="Helvetica" w:hAnsi="Helvetica" w:cs="Helvetica"/>
                <w:sz w:val="20"/>
                <w:szCs w:val="20"/>
              </w:rPr>
              <w:t>economics</w:t>
            </w:r>
            <w:proofErr w:type="spellEnd"/>
            <w:r w:rsidRPr="00D85AD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(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political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economy,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economic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policy,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economics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);</w:t>
            </w:r>
          </w:p>
          <w:p w14:paraId="264DA15E" w14:textId="77777777" w:rsidR="00A5735D" w:rsidRPr="00027422" w:rsidRDefault="00A5735D" w:rsidP="00A57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027422">
              <w:rPr>
                <w:rFonts w:ascii="Helvetica" w:hAnsi="Helvetica" w:cs="Helvetica"/>
                <w:sz w:val="20"/>
                <w:szCs w:val="20"/>
                <w:lang w:val="en-US"/>
              </w:rPr>
              <w:t>in</w:t>
            </w:r>
            <w:proofErr w:type="gramEnd"/>
            <w:r w:rsidRPr="0002742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mathematics/statistics (operational research, statistics, mathematics);</w:t>
            </w:r>
          </w:p>
          <w:p w14:paraId="0B345A2F" w14:textId="77777777" w:rsidR="00A5735D" w:rsidRPr="00DF7BA4" w:rsidRDefault="00A5735D" w:rsidP="00A573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>in</w:t>
            </w:r>
            <w:proofErr w:type="gramEnd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law (economic law, </w:t>
            </w:r>
            <w:proofErr w:type="spellStart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>european</w:t>
            </w:r>
            <w:proofErr w:type="spellEnd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union law, tax law).</w:t>
            </w:r>
          </w:p>
          <w:p w14:paraId="7274780A" w14:textId="77777777" w:rsidR="00A5735D" w:rsidRPr="00F62062" w:rsidRDefault="00A5735D" w:rsidP="00A5735D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F62062">
              <w:rPr>
                <w:rFonts w:ascii="Helvetica" w:hAnsi="Helvetica" w:cs="Helvetica"/>
                <w:sz w:val="20"/>
                <w:szCs w:val="20"/>
                <w:lang w:val="en-US"/>
              </w:rPr>
              <w:t>Students can complete their program by choosing other co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u</w:t>
            </w:r>
            <w:r w:rsidRPr="00F62062">
              <w:rPr>
                <w:rFonts w:ascii="Helvetica" w:hAnsi="Helvetica" w:cs="Helvetica"/>
                <w:sz w:val="20"/>
                <w:szCs w:val="20"/>
                <w:lang w:val="en-US"/>
              </w:rPr>
              <w:t>rse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s</w:t>
            </w:r>
            <w:r w:rsidRPr="00F6206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in similar areas.</w:t>
            </w:r>
          </w:p>
          <w:p w14:paraId="792E15F5" w14:textId="77777777" w:rsidR="004F4B1F" w:rsidRPr="002351C9" w:rsidRDefault="004F4B1F" w:rsidP="004F4B1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2351C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 program prepares students, in order to acquire </w:t>
            </w:r>
          </w:p>
          <w:p w14:paraId="780D61CB" w14:textId="77777777" w:rsidR="004F4B1F" w:rsidRPr="00B84622" w:rsidRDefault="004F4B1F" w:rsidP="004F4B1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B84622">
              <w:rPr>
                <w:rFonts w:ascii="Helvetica" w:hAnsi="Helvetica" w:cs="Helvetica"/>
                <w:sz w:val="20"/>
                <w:szCs w:val="20"/>
                <w:lang w:val="en-US"/>
              </w:rPr>
              <w:t>analytical</w:t>
            </w:r>
            <w:proofErr w:type="gramEnd"/>
            <w:r w:rsidRPr="00B8462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capacity, concerning both the structural and the functional business dimension;</w:t>
            </w:r>
          </w:p>
          <w:p w14:paraId="346DAA73" w14:textId="77777777" w:rsidR="0060040A" w:rsidRPr="003E4507" w:rsidRDefault="004F4B1F" w:rsidP="006004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a</w:t>
            </w:r>
            <w:r w:rsidR="0060040A"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bility</w:t>
            </w:r>
            <w:proofErr w:type="gramEnd"/>
            <w:r w:rsidR="0060040A"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apply knowledge </w:t>
            </w:r>
            <w:r w:rsidR="0060040A"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both in hypothetical (research) and in practical situations</w:t>
            </w:r>
            <w:r w:rsidR="0060040A"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6E30C16F" w14:textId="77777777" w:rsidR="0060040A" w:rsidRPr="00832BCA" w:rsidRDefault="0060040A" w:rsidP="006004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832BCA">
              <w:rPr>
                <w:rFonts w:ascii="Helvetica" w:hAnsi="Helvetica" w:cs="Helvetica"/>
                <w:sz w:val="20"/>
                <w:szCs w:val="20"/>
                <w:lang w:val="en-US"/>
              </w:rPr>
              <w:t>problem</w:t>
            </w:r>
            <w:proofErr w:type="gramEnd"/>
            <w:r w:rsidRPr="00832BCA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solving capacity in business and economics management areas;</w:t>
            </w:r>
          </w:p>
          <w:p w14:paraId="5F79C059" w14:textId="77777777" w:rsidR="0060040A" w:rsidRPr="003E4507" w:rsidRDefault="0060040A" w:rsidP="0060040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proofErr w:type="gramStart"/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furnishing</w:t>
            </w:r>
            <w:proofErr w:type="gramEnd"/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professional services; </w:t>
            </w:r>
          </w:p>
          <w:p w14:paraId="5CD50E71" w14:textId="77777777" w:rsidR="0060040A" w:rsidRPr="006158F2" w:rsidRDefault="0060040A" w:rsidP="0060040A">
            <w:pPr>
              <w:numPr>
                <w:ilvl w:val="0"/>
                <w:numId w:val="3"/>
              </w:num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proofErr w:type="gramStart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ability</w:t>
            </w:r>
            <w:proofErr w:type="gramEnd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conceive innovative solutions in the subject matter;</w:t>
            </w:r>
          </w:p>
          <w:p w14:paraId="7497E568" w14:textId="77777777" w:rsidR="0060040A" w:rsidRPr="00CD1A8F" w:rsidRDefault="0060040A" w:rsidP="006004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provide</w:t>
            </w:r>
            <w:proofErr w:type="gramEnd"/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 leadership role</w:t>
            </w:r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ability to conceive original solutions in business and economics;</w:t>
            </w:r>
          </w:p>
          <w:p w14:paraId="0248B741" w14:textId="77777777" w:rsidR="0060040A" w:rsidRPr="00DF7BA4" w:rsidRDefault="004F4B1F" w:rsidP="006004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a</w:t>
            </w:r>
            <w:r w:rsidR="0060040A" w:rsidRPr="00DF7BA4"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bility</w:t>
            </w:r>
            <w:proofErr w:type="gramEnd"/>
            <w:r w:rsidR="0060040A" w:rsidRPr="00DF7BA4"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 xml:space="preserve"> to work in team;</w:t>
            </w:r>
          </w:p>
          <w:p w14:paraId="3AAADE74" w14:textId="77777777" w:rsidR="0060040A" w:rsidRDefault="0060040A" w:rsidP="006004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>ability</w:t>
            </w:r>
            <w:proofErr w:type="gramEnd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perform in a formal team leadership role beyond work responsibilities, in community;</w:t>
            </w:r>
          </w:p>
          <w:p w14:paraId="4824D791" w14:textId="77777777" w:rsidR="0060040A" w:rsidRPr="00AC22B1" w:rsidRDefault="0060040A" w:rsidP="006004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AC22B1"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 w:rsidRPr="00AC22B1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leadership in coaching, training and supporting others;</w:t>
            </w:r>
          </w:p>
          <w:p w14:paraId="486EB4D6" w14:textId="77777777" w:rsidR="0060040A" w:rsidRPr="00CD1A8F" w:rsidRDefault="0060040A" w:rsidP="006004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showing awareness of theories;</w:t>
            </w:r>
          </w:p>
          <w:p w14:paraId="5A1C4371" w14:textId="77777777" w:rsidR="0060040A" w:rsidRDefault="0060040A" w:rsidP="0060040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D25A05"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 w:rsidRPr="00D25A05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autonomously studying and learning business and economics topics. </w:t>
            </w:r>
          </w:p>
          <w:p w14:paraId="09542DC1" w14:textId="77777777" w:rsidR="00A5735D" w:rsidRPr="0060040A" w:rsidRDefault="0060040A" w:rsidP="00A5735D">
            <w:pPr>
              <w:jc w:val="both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These competences will be achieved through co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u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rse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s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, exams, training.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Pr="007014A0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A dissertation is planned at the end of the program, in which students should be </w:t>
            </w:r>
            <w:proofErr w:type="gramStart"/>
            <w:r w:rsidRPr="007014A0">
              <w:rPr>
                <w:rFonts w:ascii="Helvetica" w:hAnsi="Helvetica" w:cs="Helvetica"/>
                <w:sz w:val="20"/>
                <w:szCs w:val="20"/>
                <w:lang w:val="en-US"/>
              </w:rPr>
              <w:t>show</w:t>
            </w:r>
            <w:proofErr w:type="gramEnd"/>
            <w:r w:rsidRPr="007014A0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their capacity of analysis and original approach in specific arguments.</w:t>
            </w:r>
          </w:p>
        </w:tc>
      </w:tr>
    </w:tbl>
    <w:p w14:paraId="346B70AA" w14:textId="77777777" w:rsidR="000C3049" w:rsidRPr="000C3049" w:rsidRDefault="000C3049" w:rsidP="000C3049">
      <w:pPr>
        <w:rPr>
          <w:lang w:val="en-US"/>
        </w:rPr>
      </w:pPr>
    </w:p>
    <w:p w14:paraId="18CDF0B8" w14:textId="77777777" w:rsidR="002D0F23" w:rsidRDefault="002D0F23">
      <w:pPr>
        <w:rPr>
          <w:lang w:val="en-US"/>
        </w:rPr>
      </w:pPr>
    </w:p>
    <w:sectPr w:rsidR="002D0F23" w:rsidSect="00A96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Narrow,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12929C7"/>
    <w:multiLevelType w:val="multilevel"/>
    <w:tmpl w:val="2BB66C5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3636"/>
        </w:tabs>
        <w:ind w:left="363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2A04FAF"/>
    <w:multiLevelType w:val="multilevel"/>
    <w:tmpl w:val="69C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21E4"/>
    <w:multiLevelType w:val="hybridMultilevel"/>
    <w:tmpl w:val="919EDC0A"/>
    <w:lvl w:ilvl="0" w:tplc="E598A86C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D2B9B"/>
    <w:multiLevelType w:val="hybridMultilevel"/>
    <w:tmpl w:val="2900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F3E1D"/>
    <w:multiLevelType w:val="hybridMultilevel"/>
    <w:tmpl w:val="33A6AD2A"/>
    <w:lvl w:ilvl="0" w:tplc="E598A86C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049"/>
    <w:rsid w:val="00025CBB"/>
    <w:rsid w:val="00056A08"/>
    <w:rsid w:val="0006334D"/>
    <w:rsid w:val="000B36A2"/>
    <w:rsid w:val="000C3049"/>
    <w:rsid w:val="000D7B0D"/>
    <w:rsid w:val="00120FFA"/>
    <w:rsid w:val="00156E6D"/>
    <w:rsid w:val="001E4846"/>
    <w:rsid w:val="0023780B"/>
    <w:rsid w:val="0025133D"/>
    <w:rsid w:val="00270025"/>
    <w:rsid w:val="002D0F23"/>
    <w:rsid w:val="00364BD1"/>
    <w:rsid w:val="00373FCC"/>
    <w:rsid w:val="003C2420"/>
    <w:rsid w:val="00406664"/>
    <w:rsid w:val="0045212B"/>
    <w:rsid w:val="004D5D2D"/>
    <w:rsid w:val="004F4B1F"/>
    <w:rsid w:val="0056319D"/>
    <w:rsid w:val="0060040A"/>
    <w:rsid w:val="00607845"/>
    <w:rsid w:val="00623D00"/>
    <w:rsid w:val="006A3DBE"/>
    <w:rsid w:val="00702F87"/>
    <w:rsid w:val="00703FFD"/>
    <w:rsid w:val="00711641"/>
    <w:rsid w:val="00716613"/>
    <w:rsid w:val="007C6A96"/>
    <w:rsid w:val="00857AAF"/>
    <w:rsid w:val="00861586"/>
    <w:rsid w:val="008867F0"/>
    <w:rsid w:val="008B0003"/>
    <w:rsid w:val="008D158B"/>
    <w:rsid w:val="008F1F5F"/>
    <w:rsid w:val="009262A9"/>
    <w:rsid w:val="009A722C"/>
    <w:rsid w:val="00A21413"/>
    <w:rsid w:val="00A24539"/>
    <w:rsid w:val="00A33247"/>
    <w:rsid w:val="00A5735D"/>
    <w:rsid w:val="00A96810"/>
    <w:rsid w:val="00AA5C68"/>
    <w:rsid w:val="00AF5E89"/>
    <w:rsid w:val="00B53237"/>
    <w:rsid w:val="00B83107"/>
    <w:rsid w:val="00B90217"/>
    <w:rsid w:val="00BD4AB9"/>
    <w:rsid w:val="00BE580D"/>
    <w:rsid w:val="00C004CD"/>
    <w:rsid w:val="00C3670C"/>
    <w:rsid w:val="00C95C08"/>
    <w:rsid w:val="00CD7012"/>
    <w:rsid w:val="00CE0C9D"/>
    <w:rsid w:val="00CE71C1"/>
    <w:rsid w:val="00D90B93"/>
    <w:rsid w:val="00D971EF"/>
    <w:rsid w:val="00DF7BA4"/>
    <w:rsid w:val="00E12DB6"/>
    <w:rsid w:val="00E43F83"/>
    <w:rsid w:val="00EA037E"/>
    <w:rsid w:val="00EC4304"/>
    <w:rsid w:val="00EE35C1"/>
    <w:rsid w:val="00EF3362"/>
    <w:rsid w:val="00F54675"/>
    <w:rsid w:val="00F77855"/>
    <w:rsid w:val="00FB039F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1CED8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049"/>
    <w:pPr>
      <w:spacing w:after="200" w:line="276" w:lineRule="auto"/>
    </w:pPr>
    <w:rPr>
      <w:sz w:val="24"/>
      <w:szCs w:val="3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C3049"/>
    <w:pPr>
      <w:keepNext/>
      <w:pageBreakBefore/>
      <w:numPr>
        <w:numId w:val="1"/>
      </w:numPr>
      <w:tabs>
        <w:tab w:val="left" w:pos="567"/>
      </w:tabs>
      <w:suppressAutoHyphens/>
      <w:spacing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lang w:val="nl-NL" w:eastAsia="nl-NL"/>
    </w:rPr>
  </w:style>
  <w:style w:type="paragraph" w:styleId="Titolo2">
    <w:name w:val="heading 2"/>
    <w:basedOn w:val="Normale"/>
    <w:next w:val="Normale"/>
    <w:link w:val="Titolo2Carattere"/>
    <w:qFormat/>
    <w:rsid w:val="000C3049"/>
    <w:pPr>
      <w:keepNext/>
      <w:numPr>
        <w:ilvl w:val="1"/>
        <w:numId w:val="1"/>
      </w:numPr>
      <w:tabs>
        <w:tab w:val="left" w:pos="567"/>
      </w:tabs>
      <w:suppressAutoHyphens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2"/>
      <w:szCs w:val="28"/>
      <w:lang w:val="nl-NL" w:eastAsia="nl-NL"/>
    </w:rPr>
  </w:style>
  <w:style w:type="paragraph" w:styleId="Titolo3">
    <w:name w:val="heading 3"/>
    <w:basedOn w:val="Normale"/>
    <w:next w:val="Normale"/>
    <w:link w:val="Titolo3Carattere"/>
    <w:qFormat/>
    <w:rsid w:val="000C3049"/>
    <w:pPr>
      <w:keepNext/>
      <w:numPr>
        <w:ilvl w:val="2"/>
        <w:numId w:val="1"/>
      </w:numPr>
      <w:tabs>
        <w:tab w:val="left" w:pos="567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2"/>
      <w:szCs w:val="26"/>
      <w:lang w:val="nl-NL" w:eastAsia="nl-NL"/>
    </w:rPr>
  </w:style>
  <w:style w:type="paragraph" w:styleId="Titolo6">
    <w:name w:val="heading 6"/>
    <w:basedOn w:val="Normale"/>
    <w:next w:val="Normale"/>
    <w:link w:val="Titolo6Carattere"/>
    <w:qFormat/>
    <w:rsid w:val="000C3049"/>
    <w:pPr>
      <w:numPr>
        <w:ilvl w:val="5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5"/>
    </w:pPr>
    <w:rPr>
      <w:rFonts w:ascii="Arial" w:eastAsia="Times New Roman" w:hAnsi="Arial"/>
      <w:b/>
      <w:bCs/>
      <w:sz w:val="22"/>
      <w:szCs w:val="22"/>
      <w:lang w:val="nl-NL" w:eastAsia="nl-NL"/>
    </w:rPr>
  </w:style>
  <w:style w:type="paragraph" w:styleId="Titolo7">
    <w:name w:val="heading 7"/>
    <w:basedOn w:val="Normale"/>
    <w:next w:val="Normale"/>
    <w:link w:val="Titolo7Carattere"/>
    <w:qFormat/>
    <w:rsid w:val="000C3049"/>
    <w:pPr>
      <w:numPr>
        <w:ilvl w:val="6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6"/>
    </w:pPr>
    <w:rPr>
      <w:rFonts w:ascii="Arial" w:eastAsia="Times New Roman" w:hAnsi="Arial"/>
      <w:sz w:val="18"/>
      <w:szCs w:val="24"/>
      <w:lang w:val="nl-NL" w:eastAsia="nl-NL"/>
    </w:rPr>
  </w:style>
  <w:style w:type="paragraph" w:styleId="Titolo8">
    <w:name w:val="heading 8"/>
    <w:basedOn w:val="Normale"/>
    <w:next w:val="Normale"/>
    <w:link w:val="Titolo8Carattere"/>
    <w:qFormat/>
    <w:rsid w:val="000C3049"/>
    <w:pPr>
      <w:numPr>
        <w:ilvl w:val="7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7"/>
    </w:pPr>
    <w:rPr>
      <w:rFonts w:ascii="Arial" w:eastAsia="Times New Roman" w:hAnsi="Arial"/>
      <w:i/>
      <w:iCs/>
      <w:sz w:val="18"/>
      <w:szCs w:val="24"/>
      <w:lang w:val="nl-NL" w:eastAsia="nl-NL"/>
    </w:rPr>
  </w:style>
  <w:style w:type="paragraph" w:styleId="Titolo9">
    <w:name w:val="heading 9"/>
    <w:basedOn w:val="Normale"/>
    <w:next w:val="Normale"/>
    <w:link w:val="Titolo9Carattere"/>
    <w:qFormat/>
    <w:rsid w:val="000C3049"/>
    <w:pPr>
      <w:numPr>
        <w:ilvl w:val="8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8"/>
    </w:pPr>
    <w:rPr>
      <w:rFonts w:ascii="Arial" w:eastAsia="Times New Roman" w:hAnsi="Arial" w:cs="Arial"/>
      <w:sz w:val="22"/>
      <w:szCs w:val="22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C3049"/>
    <w:rPr>
      <w:rFonts w:ascii="Arial" w:eastAsia="Times New Roman" w:hAnsi="Arial" w:cs="Arial"/>
      <w:bCs/>
      <w:kern w:val="32"/>
      <w:sz w:val="32"/>
      <w:lang w:val="nl-NL" w:eastAsia="nl-NL"/>
    </w:rPr>
  </w:style>
  <w:style w:type="character" w:customStyle="1" w:styleId="Titolo2Carattere">
    <w:name w:val="Titolo 2 Carattere"/>
    <w:basedOn w:val="Caratterepredefinitoparagrafo"/>
    <w:link w:val="Titolo2"/>
    <w:rsid w:val="000C3049"/>
    <w:rPr>
      <w:rFonts w:ascii="Arial" w:eastAsia="Times New Roman" w:hAnsi="Arial" w:cs="Arial"/>
      <w:bCs/>
      <w:iCs/>
      <w:sz w:val="22"/>
      <w:szCs w:val="28"/>
      <w:lang w:val="nl-NL" w:eastAsia="nl-NL"/>
    </w:rPr>
  </w:style>
  <w:style w:type="character" w:customStyle="1" w:styleId="Titolo3Carattere">
    <w:name w:val="Titolo 3 Carattere"/>
    <w:basedOn w:val="Caratterepredefinitoparagrafo"/>
    <w:link w:val="Titolo3"/>
    <w:rsid w:val="000C3049"/>
    <w:rPr>
      <w:rFonts w:ascii="Arial" w:eastAsia="Times New Roman" w:hAnsi="Arial" w:cs="Arial"/>
      <w:bCs/>
      <w:sz w:val="22"/>
      <w:szCs w:val="26"/>
      <w:lang w:val="nl-NL" w:eastAsia="nl-NL"/>
    </w:rPr>
  </w:style>
  <w:style w:type="character" w:customStyle="1" w:styleId="Titolo6Carattere">
    <w:name w:val="Titolo 6 Carattere"/>
    <w:basedOn w:val="Caratterepredefinitoparagrafo"/>
    <w:link w:val="Titolo6"/>
    <w:rsid w:val="000C3049"/>
    <w:rPr>
      <w:rFonts w:ascii="Arial" w:eastAsia="Times New Roman" w:hAnsi="Arial"/>
      <w:bCs/>
      <w:sz w:val="22"/>
      <w:szCs w:val="22"/>
      <w:lang w:val="nl-NL" w:eastAsia="nl-NL"/>
    </w:rPr>
  </w:style>
  <w:style w:type="character" w:customStyle="1" w:styleId="Titolo7Carattere">
    <w:name w:val="Titolo 7 Carattere"/>
    <w:basedOn w:val="Caratterepredefinitoparagrafo"/>
    <w:link w:val="Titolo7"/>
    <w:rsid w:val="000C3049"/>
    <w:rPr>
      <w:rFonts w:ascii="Arial" w:eastAsia="Times New Roman" w:hAnsi="Arial"/>
      <w:b w:val="0"/>
      <w:sz w:val="18"/>
      <w:szCs w:val="24"/>
      <w:lang w:val="nl-NL" w:eastAsia="nl-NL"/>
    </w:rPr>
  </w:style>
  <w:style w:type="character" w:customStyle="1" w:styleId="Titolo8Carattere">
    <w:name w:val="Titolo 8 Carattere"/>
    <w:basedOn w:val="Caratterepredefinitoparagrafo"/>
    <w:link w:val="Titolo8"/>
    <w:rsid w:val="000C3049"/>
    <w:rPr>
      <w:rFonts w:ascii="Arial" w:eastAsia="Times New Roman" w:hAnsi="Arial"/>
      <w:b w:val="0"/>
      <w:i/>
      <w:iCs/>
      <w:sz w:val="18"/>
      <w:szCs w:val="24"/>
      <w:lang w:val="nl-NL" w:eastAsia="nl-NL"/>
    </w:rPr>
  </w:style>
  <w:style w:type="character" w:customStyle="1" w:styleId="Titolo9Carattere">
    <w:name w:val="Titolo 9 Carattere"/>
    <w:basedOn w:val="Caratterepredefinitoparagrafo"/>
    <w:link w:val="Titolo9"/>
    <w:rsid w:val="000C3049"/>
    <w:rPr>
      <w:rFonts w:ascii="Arial" w:eastAsia="Times New Roman" w:hAnsi="Arial" w:cs="Arial"/>
      <w:b w:val="0"/>
      <w:sz w:val="22"/>
      <w:szCs w:val="22"/>
      <w:lang w:val="nl-NL" w:eastAsia="nl-NL"/>
    </w:rPr>
  </w:style>
  <w:style w:type="paragraph" w:styleId="Intestazione">
    <w:name w:val="header"/>
    <w:basedOn w:val="Normale"/>
    <w:link w:val="IntestazioneCarattere"/>
    <w:uiPriority w:val="99"/>
    <w:rsid w:val="000C3049"/>
    <w:pPr>
      <w:pBdr>
        <w:bottom w:val="single" w:sz="4" w:space="1" w:color="auto"/>
      </w:pBdr>
      <w:tabs>
        <w:tab w:val="left" w:pos="-1253"/>
        <w:tab w:val="left" w:pos="-533"/>
        <w:tab w:val="left" w:pos="0"/>
        <w:tab w:val="center" w:pos="4536"/>
        <w:tab w:val="right" w:pos="9072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nl-NL" w:eastAsia="nl-NL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3049"/>
    <w:rPr>
      <w:rFonts w:ascii="Arial" w:eastAsia="Times New Roman" w:hAnsi="Arial"/>
      <w:b w:val="0"/>
      <w:sz w:val="16"/>
      <w:szCs w:val="24"/>
      <w:lang w:val="nl-NL" w:eastAsia="nl-NL"/>
    </w:rPr>
  </w:style>
  <w:style w:type="paragraph" w:customStyle="1" w:styleId="Default">
    <w:name w:val="Default"/>
    <w:rsid w:val="008D158B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1041</Words>
  <Characters>5934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univaq</cp:lastModifiedBy>
  <cp:revision>49</cp:revision>
  <dcterms:created xsi:type="dcterms:W3CDTF">2015-10-20T21:00:00Z</dcterms:created>
  <dcterms:modified xsi:type="dcterms:W3CDTF">2017-04-18T06:18:00Z</dcterms:modified>
</cp:coreProperties>
</file>