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4AAB6" w14:textId="77777777" w:rsidR="00036B48" w:rsidRDefault="00036B48" w:rsidP="00823B25">
      <w:pPr>
        <w:spacing w:after="0" w:line="240" w:lineRule="auto"/>
        <w:ind w:left="340" w:hanging="340"/>
        <w:rPr>
          <w:rFonts w:asciiTheme="minorHAnsi" w:eastAsiaTheme="minorHAnsi" w:hAnsiTheme="minorHAnsi" w:cstheme="minorBidi"/>
          <w:b w:val="0"/>
          <w:sz w:val="22"/>
          <w:szCs w:val="22"/>
        </w:rPr>
      </w:pPr>
      <w:bookmarkStart w:id="0" w:name="_GoBack"/>
      <w:bookmarkEnd w:id="0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7052"/>
      </w:tblGrid>
      <w:tr w:rsidR="004B53A6" w:rsidRPr="00EE1ED9" w14:paraId="3C255E76" w14:textId="77777777" w:rsidTr="004B53A6">
        <w:tc>
          <w:tcPr>
            <w:tcW w:w="9854" w:type="dxa"/>
            <w:gridSpan w:val="3"/>
          </w:tcPr>
          <w:p w14:paraId="483304E1" w14:textId="77777777" w:rsidR="004B53A6" w:rsidRPr="00EE1ED9" w:rsidRDefault="004B53A6" w:rsidP="004B53A6">
            <w:pPr>
              <w:spacing w:before="60" w:after="0" w:line="240" w:lineRule="auto"/>
              <w:jc w:val="center"/>
              <w:rPr>
                <w:rFonts w:asciiTheme="minorHAnsi" w:hAnsiTheme="minorHAnsi" w:cs="Arial"/>
                <w:bCs/>
                <w:szCs w:val="24"/>
              </w:rPr>
            </w:pPr>
            <w:proofErr w:type="spellStart"/>
            <w:r w:rsidRPr="00EE1ED9">
              <w:rPr>
                <w:rFonts w:asciiTheme="minorHAnsi" w:hAnsiTheme="minorHAnsi" w:cs="Arial"/>
                <w:bCs/>
                <w:szCs w:val="24"/>
              </w:rPr>
              <w:t>Programme</w:t>
            </w:r>
            <w:proofErr w:type="spellEnd"/>
            <w:r w:rsidRPr="00EE1ED9">
              <w:rPr>
                <w:rFonts w:asciiTheme="minorHAnsi" w:hAnsiTheme="minorHAnsi" w:cs="Arial"/>
                <w:bCs/>
                <w:szCs w:val="24"/>
              </w:rPr>
              <w:t xml:space="preserve"> of “</w:t>
            </w:r>
            <w:r>
              <w:rPr>
                <w:rFonts w:asciiTheme="minorHAnsi" w:hAnsiTheme="minorHAnsi" w:cs="Arial"/>
                <w:bCs/>
                <w:szCs w:val="24"/>
              </w:rPr>
              <w:t>Organizzazione e Gestione delle Risorse Umane</w:t>
            </w:r>
            <w:r w:rsidRPr="00EE1ED9">
              <w:rPr>
                <w:rFonts w:asciiTheme="minorHAnsi" w:hAnsiTheme="minorHAnsi" w:cs="Arial"/>
                <w:bCs/>
                <w:szCs w:val="24"/>
              </w:rPr>
              <w:t>”</w:t>
            </w:r>
          </w:p>
          <w:p w14:paraId="684F0FFD" w14:textId="77777777" w:rsidR="004B53A6" w:rsidRPr="00EE1ED9" w:rsidRDefault="004B53A6" w:rsidP="004B53A6">
            <w:pPr>
              <w:spacing w:after="60" w:line="240" w:lineRule="auto"/>
              <w:jc w:val="center"/>
              <w:rPr>
                <w:rFonts w:asciiTheme="minorHAnsi" w:hAnsiTheme="minorHAnsi" w:cs="Arial"/>
                <w:bCs/>
                <w:szCs w:val="24"/>
                <w:lang w:val="en-US"/>
              </w:rPr>
            </w:pPr>
            <w:r>
              <w:rPr>
                <w:rFonts w:asciiTheme="minorHAnsi" w:hAnsiTheme="minorHAnsi" w:cs="Arial"/>
                <w:bCs/>
                <w:szCs w:val="24"/>
                <w:lang w:val="en-US"/>
              </w:rPr>
              <w:t>“</w:t>
            </w:r>
            <w:r>
              <w:rPr>
                <w:rFonts w:asciiTheme="minorHAnsi" w:hAnsiTheme="minorHAnsi" w:cs="Arial"/>
                <w:bCs/>
                <w:i/>
                <w:szCs w:val="24"/>
                <w:lang w:val="en-US"/>
              </w:rPr>
              <w:t>HUMAN RESOURCE MANAGEMENT</w:t>
            </w:r>
            <w:r>
              <w:rPr>
                <w:rFonts w:asciiTheme="minorHAnsi" w:hAnsiTheme="minorHAnsi" w:cs="Arial"/>
                <w:bCs/>
                <w:szCs w:val="24"/>
                <w:lang w:val="en-US"/>
              </w:rPr>
              <w:t>”</w:t>
            </w:r>
          </w:p>
        </w:tc>
      </w:tr>
      <w:tr w:rsidR="004B53A6" w:rsidRPr="00EA1135" w14:paraId="09EB58D2" w14:textId="77777777" w:rsidTr="004B53A6">
        <w:tc>
          <w:tcPr>
            <w:tcW w:w="9854" w:type="dxa"/>
            <w:gridSpan w:val="3"/>
          </w:tcPr>
          <w:p w14:paraId="01E548F2" w14:textId="6D1035E4" w:rsidR="0001004F" w:rsidRDefault="0001004F" w:rsidP="004B53A6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 w:rsidRPr="0001004F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CODE: M0140</w:t>
            </w:r>
          </w:p>
          <w:p w14:paraId="00A5B0E2" w14:textId="6179522C" w:rsidR="004B53A6" w:rsidRPr="00B85782" w:rsidRDefault="004B53A6" w:rsidP="004B53A6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</w:t>
            </w:r>
            <w:r w:rsidR="0001004F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Type of course unit: </w:t>
            </w:r>
            <w:r w:rsidRPr="00B8578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COMPULSORY</w:t>
            </w:r>
          </w:p>
          <w:p w14:paraId="7A1EDD1E" w14:textId="77777777" w:rsidR="0001004F" w:rsidRDefault="004B53A6" w:rsidP="004B53A6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 w:rsidRPr="00B8578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2</w:t>
            </w:r>
            <w:r w:rsidRPr="00B85782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B8578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Cycle Degree in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ADMI</w:t>
            </w:r>
            <w:r w:rsidR="0001004F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NISTRATION, ECONOMY AND FINANCE</w:t>
            </w:r>
          </w:p>
          <w:p w14:paraId="76887C29" w14:textId="0D15BC31" w:rsidR="0001004F" w:rsidRDefault="0001004F" w:rsidP="004B53A6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2</w:t>
            </w:r>
            <w:r w:rsidRPr="0001004F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year, 1</w:t>
            </w:r>
            <w:r w:rsidRPr="0001004F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semester</w:t>
            </w:r>
          </w:p>
          <w:p w14:paraId="6F7F83AC" w14:textId="74F95E41" w:rsidR="004B53A6" w:rsidRPr="00EA1135" w:rsidRDefault="0001004F" w:rsidP="004B53A6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proofErr w:type="spellStart"/>
            <w:r w:rsidRPr="0044484E">
              <w:rPr>
                <w:rFonts w:cs="Arial"/>
                <w:b w:val="0"/>
                <w:bCs/>
                <w:sz w:val="20"/>
                <w:szCs w:val="20"/>
              </w:rPr>
              <w:t>Teacher</w:t>
            </w:r>
            <w:proofErr w:type="spellEnd"/>
            <w:r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Pr="0044484E">
              <w:rPr>
                <w:rFonts w:cs="Arial"/>
                <w:b w:val="0"/>
                <w:bCs/>
                <w:sz w:val="20"/>
                <w:szCs w:val="20"/>
              </w:rPr>
              <w:t xml:space="preserve">: 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Prof. Dr. </w:t>
            </w:r>
            <w:r>
              <w:rPr>
                <w:rFonts w:cs="Arial"/>
                <w:bCs/>
                <w:sz w:val="20"/>
                <w:szCs w:val="20"/>
              </w:rPr>
              <w:t>Alessia SAMMARRA</w:t>
            </w:r>
            <w:r w:rsidRPr="0044484E"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4B53A6" w:rsidRPr="00B85782" w14:paraId="3BF5D541" w14:textId="77777777" w:rsidTr="004B53A6">
        <w:tc>
          <w:tcPr>
            <w:tcW w:w="9854" w:type="dxa"/>
            <w:gridSpan w:val="3"/>
          </w:tcPr>
          <w:p w14:paraId="24BB2E8E" w14:textId="77777777" w:rsidR="004B53A6" w:rsidRPr="00B85782" w:rsidRDefault="004B53A6" w:rsidP="004B53A6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val="en-US"/>
              </w:rPr>
            </w:pPr>
            <w:r w:rsidRPr="00B8578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Number of ECTS credits: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9</w:t>
            </w:r>
            <w:r w:rsidRPr="00B8578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(workload is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225</w:t>
            </w:r>
            <w:r w:rsidRPr="00B8578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hours; 1 credit  = 25 hours)</w:t>
            </w:r>
          </w:p>
        </w:tc>
      </w:tr>
      <w:tr w:rsidR="004B53A6" w:rsidRPr="0044484E" w14:paraId="473F2BA0" w14:textId="77777777" w:rsidTr="004B53A6">
        <w:tc>
          <w:tcPr>
            <w:tcW w:w="9854" w:type="dxa"/>
            <w:gridSpan w:val="3"/>
          </w:tcPr>
          <w:p w14:paraId="6102E605" w14:textId="005416AD" w:rsidR="004B53A6" w:rsidRPr="0044484E" w:rsidRDefault="004B53A6" w:rsidP="004B53A6">
            <w:pPr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</w:tr>
      <w:tr w:rsidR="004B53A6" w:rsidRPr="003657E8" w14:paraId="759A131C" w14:textId="77777777" w:rsidTr="004B53A6">
        <w:trPr>
          <w:trHeight w:val="648"/>
        </w:trPr>
        <w:tc>
          <w:tcPr>
            <w:tcW w:w="392" w:type="dxa"/>
            <w:vAlign w:val="center"/>
          </w:tcPr>
          <w:p w14:paraId="5D7982D9" w14:textId="77777777" w:rsidR="004B53A6" w:rsidRPr="00BE3C30" w:rsidRDefault="004B53A6" w:rsidP="004B53A6">
            <w:pPr>
              <w:rPr>
                <w:rFonts w:cs="Calibri"/>
                <w:b w:val="0"/>
                <w:bCs/>
                <w:smallCaps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bCs/>
                <w:smallCaps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14:paraId="199DA3FD" w14:textId="77777777" w:rsidR="004B53A6" w:rsidRPr="00BE3C30" w:rsidRDefault="004B53A6" w:rsidP="004B53A6">
            <w:pPr>
              <w:spacing w:after="0"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sz w:val="20"/>
                <w:szCs w:val="20"/>
                <w:lang w:val="en-US"/>
              </w:rPr>
              <w:t xml:space="preserve">Course objectives </w:t>
            </w:r>
          </w:p>
          <w:p w14:paraId="4FA8DCA1" w14:textId="77777777" w:rsidR="004B53A6" w:rsidRPr="00BE3C30" w:rsidRDefault="004B53A6" w:rsidP="004B53A6">
            <w:pPr>
              <w:spacing w:after="0" w:line="240" w:lineRule="auto"/>
              <w:rPr>
                <w:rFonts w:cs="Calibri"/>
                <w:b w:val="0"/>
                <w:bCs/>
                <w:i/>
                <w:iCs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7052" w:type="dxa"/>
          </w:tcPr>
          <w:p w14:paraId="1C24DD6A" w14:textId="6FD04A02" w:rsidR="009E12C0" w:rsidRDefault="004B53A6" w:rsidP="009E12C0">
            <w:pPr>
              <w:spacing w:after="0" w:line="240" w:lineRule="auto"/>
              <w:jc w:val="both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 w:rsidRPr="00EA1135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The course major educational objective is to </w:t>
            </w: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provide the students with the knowledge and understanding of </w:t>
            </w:r>
            <w:r w:rsid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contemporary </w:t>
            </w: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>policies and practices</w:t>
            </w:r>
            <w:r w:rsidRPr="004B53A6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="00EB1C78">
              <w:rPr>
                <w:rFonts w:cs="Arial"/>
                <w:b w:val="0"/>
                <w:bCs/>
                <w:sz w:val="20"/>
                <w:szCs w:val="20"/>
                <w:lang w:val="en-US"/>
              </w:rPr>
              <w:t>for</w:t>
            </w:r>
            <w:r w:rsidRPr="004B53A6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="00EB1C78">
              <w:rPr>
                <w:rFonts w:cs="Arial"/>
                <w:b w:val="0"/>
                <w:bCs/>
                <w:sz w:val="20"/>
                <w:szCs w:val="20"/>
                <w:lang w:val="en-US"/>
              </w:rPr>
              <w:t>employees’ management</w:t>
            </w:r>
            <w:r w:rsidR="008D5245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and motivation</w:t>
            </w:r>
            <w:r w:rsidR="00E6671B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, including recruitment </w:t>
            </w:r>
            <w:r w:rsidR="00EB1C78">
              <w:rPr>
                <w:rFonts w:cs="Arial"/>
                <w:b w:val="0"/>
                <w:bCs/>
                <w:sz w:val="20"/>
                <w:szCs w:val="20"/>
                <w:lang w:val="en-US"/>
              </w:rPr>
              <w:t>selection</w:t>
            </w:r>
            <w:r w:rsidR="00E6671B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and induction</w:t>
            </w:r>
            <w:r w:rsidRPr="004B53A6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, </w:t>
            </w:r>
            <w:r w:rsidR="00EB1C78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training and professional development, performance </w:t>
            </w:r>
            <w:r w:rsid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>appraisal,</w:t>
            </w:r>
            <w:r w:rsidR="00EB1C78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rewarding and compensation. </w:t>
            </w:r>
            <w:r w:rsid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>Parti</w:t>
            </w:r>
            <w:r w:rsidR="009F3BE8">
              <w:rPr>
                <w:rFonts w:cs="Arial"/>
                <w:b w:val="0"/>
                <w:bCs/>
                <w:sz w:val="20"/>
                <w:szCs w:val="20"/>
                <w:lang w:val="en-US"/>
              </w:rPr>
              <w:t>cular relevance will be given to</w:t>
            </w:r>
            <w:r w:rsid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the role of</w:t>
            </w:r>
            <w:r w:rsidR="009E12C0" w:rsidRP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human resource</w:t>
            </w:r>
            <w:r w:rsid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management</w:t>
            </w:r>
            <w:r w:rsidR="009E12C0" w:rsidRP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in support of organizational mission and objectives.</w:t>
            </w:r>
          </w:p>
          <w:p w14:paraId="66CA2FD6" w14:textId="51C33690" w:rsidR="004B53A6" w:rsidRPr="003657E8" w:rsidRDefault="004B53A6" w:rsidP="009E12C0">
            <w:pPr>
              <w:spacing w:after="0" w:line="240" w:lineRule="auto"/>
              <w:jc w:val="both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>C</w:t>
            </w:r>
            <w:r w:rsidRPr="00EA1135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ase studies </w:t>
            </w:r>
            <w:r w:rsid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of real-word organizations </w:t>
            </w: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>will be presented and discussed in order</w:t>
            </w:r>
            <w:r w:rsidRPr="00EA1135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to </w:t>
            </w:r>
            <w:r w:rsidR="009E12C0">
              <w:rPr>
                <w:rFonts w:cs="Arial"/>
                <w:b w:val="0"/>
                <w:bCs/>
                <w:sz w:val="20"/>
                <w:szCs w:val="20"/>
                <w:lang w:val="en-US"/>
              </w:rPr>
              <w:t>illustrate contemporary HR</w:t>
            </w:r>
            <w:r w:rsidR="00A274F2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="009F3BE8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concepts and </w:t>
            </w:r>
            <w:r w:rsidR="00A274F2">
              <w:rPr>
                <w:rFonts w:cs="Arial"/>
                <w:b w:val="0"/>
                <w:bCs/>
                <w:sz w:val="20"/>
                <w:szCs w:val="20"/>
                <w:lang w:val="en-US"/>
              </w:rPr>
              <w:t>issues in practice</w:t>
            </w:r>
            <w:r w:rsidRPr="00EA1135">
              <w:rPr>
                <w:rFonts w:cs="Arial"/>
                <w:b w:val="0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4B53A6" w:rsidRPr="00061393" w14:paraId="08B39A27" w14:textId="77777777" w:rsidTr="004B53A6">
        <w:tc>
          <w:tcPr>
            <w:tcW w:w="392" w:type="dxa"/>
            <w:vAlign w:val="center"/>
          </w:tcPr>
          <w:p w14:paraId="32DC085E" w14:textId="77777777" w:rsidR="004B53A6" w:rsidRPr="00BE3C30" w:rsidRDefault="004B53A6" w:rsidP="004B53A6">
            <w:pPr>
              <w:rPr>
                <w:rFonts w:cs="Calibri"/>
                <w:b w:val="0"/>
                <w:bCs/>
                <w:smallCaps/>
                <w:sz w:val="20"/>
                <w:szCs w:val="20"/>
              </w:rPr>
            </w:pPr>
            <w:r w:rsidRPr="00BE3C30">
              <w:rPr>
                <w:rFonts w:cs="Calibri"/>
                <w:b w:val="0"/>
                <w:bCs/>
                <w:smallCap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7BAC961D" w14:textId="77777777" w:rsidR="008E066D" w:rsidRDefault="004B53A6" w:rsidP="004B53A6">
            <w:pPr>
              <w:spacing w:after="0"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sz w:val="20"/>
                <w:szCs w:val="20"/>
                <w:lang w:val="en-US"/>
              </w:rPr>
              <w:t>Cours</w:t>
            </w:r>
            <w:r w:rsidR="008E066D">
              <w:rPr>
                <w:rFonts w:cs="Calibri"/>
                <w:b w:val="0"/>
                <w:sz w:val="20"/>
                <w:szCs w:val="20"/>
                <w:lang w:val="en-US"/>
              </w:rPr>
              <w:t>e content and Learning outcomes</w:t>
            </w:r>
          </w:p>
          <w:p w14:paraId="708F9BF5" w14:textId="77777777" w:rsidR="008E066D" w:rsidRDefault="008E066D" w:rsidP="004B53A6">
            <w:pPr>
              <w:spacing w:after="0"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</w:p>
          <w:p w14:paraId="3E39C6E7" w14:textId="4764A8CD" w:rsidR="004B53A6" w:rsidRPr="00BE3C30" w:rsidRDefault="004B53A6" w:rsidP="004B53A6">
            <w:pPr>
              <w:spacing w:after="0" w:line="240" w:lineRule="auto"/>
              <w:rPr>
                <w:rFonts w:cs="Calibri"/>
                <w:bCs/>
                <w:smallCaps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sz w:val="20"/>
                <w:szCs w:val="20"/>
                <w:lang w:val="en-US"/>
              </w:rPr>
              <w:t>(Dublin descriptors)</w:t>
            </w:r>
          </w:p>
        </w:tc>
        <w:tc>
          <w:tcPr>
            <w:tcW w:w="7052" w:type="dxa"/>
          </w:tcPr>
          <w:p w14:paraId="49907411" w14:textId="71F7BA65" w:rsidR="004B53A6" w:rsidRPr="00F97466" w:rsidRDefault="003A6B43" w:rsidP="004B53A6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Topics of this course include</w:t>
            </w:r>
            <w:r w:rsidR="004B53A6" w:rsidRPr="00F97466">
              <w:rPr>
                <w:rFonts w:cs="Calibri"/>
                <w:sz w:val="20"/>
                <w:szCs w:val="20"/>
                <w:lang w:val="en-US"/>
              </w:rPr>
              <w:t>:</w:t>
            </w:r>
          </w:p>
          <w:p w14:paraId="385C4452" w14:textId="77777777" w:rsidR="00C73FF4" w:rsidRDefault="003A6B43" w:rsidP="004B53A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Introduction: the role of HRM in the knowledge economy</w:t>
            </w:r>
          </w:p>
          <w:p w14:paraId="48D91044" w14:textId="4216EF49" w:rsidR="00C73FF4" w:rsidRDefault="00C73FF4" w:rsidP="004B53A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Organizational behavior</w:t>
            </w:r>
          </w:p>
          <w:p w14:paraId="45C19C72" w14:textId="04E68B4E" w:rsidR="004B53A6" w:rsidRDefault="00C73FF4" w:rsidP="004B53A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Job Design</w:t>
            </w:r>
            <w:r w:rsidR="003A6B43">
              <w:rPr>
                <w:rFonts w:cs="Calibri"/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23D9B55F" w14:textId="69D23002" w:rsidR="003A6B43" w:rsidRPr="00F97466" w:rsidRDefault="003A6B43" w:rsidP="004B53A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The HRM cycle: policies and practices</w:t>
            </w:r>
          </w:p>
          <w:p w14:paraId="2F9BAD50" w14:textId="78580F93" w:rsidR="004B53A6" w:rsidRDefault="003A6B43" w:rsidP="004B53A6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Recruitment, selection and induction</w:t>
            </w:r>
          </w:p>
          <w:p w14:paraId="110E2BCB" w14:textId="61B81017" w:rsidR="00B37FAF" w:rsidRPr="00F97466" w:rsidRDefault="00B37FAF" w:rsidP="004B53A6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Performance appraisal and management</w:t>
            </w:r>
          </w:p>
          <w:p w14:paraId="02549F1F" w14:textId="6D4E3D63" w:rsidR="004B53A6" w:rsidRDefault="00B37FAF" w:rsidP="004B53A6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 xml:space="preserve">Training and </w:t>
            </w:r>
            <w:r w:rsidR="003A6B43">
              <w:rPr>
                <w:rFonts w:cs="Calibri"/>
                <w:b w:val="0"/>
                <w:sz w:val="20"/>
                <w:szCs w:val="20"/>
                <w:lang w:val="en-US"/>
              </w:rPr>
              <w:t>professional development</w:t>
            </w:r>
          </w:p>
          <w:p w14:paraId="2F9FEEE1" w14:textId="740A8AA3" w:rsidR="003A6B43" w:rsidRDefault="003A6B43" w:rsidP="00C73FF4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Rewarding &amp; Compensation</w:t>
            </w:r>
          </w:p>
          <w:p w14:paraId="392D237A" w14:textId="77777777" w:rsidR="00C73FF4" w:rsidRDefault="00C73FF4" w:rsidP="004B53A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HRM and diversity management</w:t>
            </w:r>
          </w:p>
          <w:p w14:paraId="0B577B3E" w14:textId="778071F8" w:rsidR="008E066D" w:rsidRPr="008E066D" w:rsidRDefault="00C73FF4" w:rsidP="008E066D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sz w:val="20"/>
                <w:szCs w:val="20"/>
                <w:lang w:val="en-US"/>
              </w:rPr>
              <w:t>International HRM</w:t>
            </w:r>
            <w:r w:rsidR="004B53A6" w:rsidRPr="00C73FF4">
              <w:rPr>
                <w:rFonts w:cs="Calibri"/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15A12A09" w14:textId="6DF40FF9" w:rsidR="008E066D" w:rsidRDefault="008E066D" w:rsidP="0088677D">
            <w:p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Learning outcomes: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F633A9A" w14:textId="62D66752" w:rsidR="00702F30" w:rsidRPr="0088677D" w:rsidRDefault="00702F30" w:rsidP="0088677D">
            <w:p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On successful completion of this module, the student should:</w:t>
            </w:r>
          </w:p>
          <w:p w14:paraId="30A5326E" w14:textId="15C04578" w:rsidR="00702F30" w:rsidRPr="0088677D" w:rsidRDefault="00702F30" w:rsidP="00702F3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develop an 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understanding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of the strategic importance of HR to organizational effectiveness and performance</w:t>
            </w:r>
          </w:p>
          <w:p w14:paraId="0C35B73B" w14:textId="19BEDD92" w:rsidR="00702F30" w:rsidRPr="0088677D" w:rsidRDefault="001F27BB" w:rsidP="00702F3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acquire</w:t>
            </w:r>
            <w:r w:rsidR="00702F30"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02F30"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knowledge</w:t>
            </w:r>
            <w:r w:rsidR="00702F30"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="00702F30"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understanding</w:t>
            </w:r>
            <w:r w:rsidR="00702F30"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of the 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different stages of the HR value chain, including HR </w:t>
            </w:r>
            <w:r w:rsidR="00B3099C"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policies and 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practices to attract, motivate and retain employees</w:t>
            </w:r>
          </w:p>
          <w:p w14:paraId="4C8C6CD8" w14:textId="60E70013" w:rsidR="00702F30" w:rsidRPr="0088677D" w:rsidRDefault="00702F30" w:rsidP="00702F3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be able to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analyse</w:t>
            </w:r>
            <w:proofErr w:type="spellEnd"/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E2404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and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appraise 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the relationship between HR practices and their outcomes for the indivi</w:t>
            </w:r>
            <w:r w:rsidR="00BE2404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dual and the organiz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ation</w:t>
            </w:r>
          </w:p>
          <w:p w14:paraId="1900F51E" w14:textId="16EFF836" w:rsidR="00702F30" w:rsidRPr="0088677D" w:rsidRDefault="001F27BB" w:rsidP="00702F3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be able to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02F30"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evaluate</w:t>
            </w:r>
            <w:r w:rsidR="00702F30"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the insights from organizational behavior theory on HRM and employee well-being</w:t>
            </w:r>
          </w:p>
          <w:p w14:paraId="49E3B493" w14:textId="776B3069" w:rsidR="001F27BB" w:rsidRPr="0088677D" w:rsidRDefault="001F27BB" w:rsidP="001F27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be able to 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discuss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the impact of contextual internal and external factors on the shaping of HRM strategy/policies and HR practices</w:t>
            </w:r>
          </w:p>
          <w:p w14:paraId="2BE83AF9" w14:textId="00390484" w:rsidR="001F27BB" w:rsidRDefault="001F27BB" w:rsidP="001F27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know 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and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apply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the language of the HR profession</w:t>
            </w:r>
          </w:p>
          <w:p w14:paraId="5324F661" w14:textId="6A336791" w:rsidR="00BE2404" w:rsidRPr="0088677D" w:rsidRDefault="00BE2404" w:rsidP="001F27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E24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understand</w:t>
            </w:r>
            <w:r w:rsidRPr="00BE2404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00BE24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discuss</w:t>
            </w:r>
            <w:r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the main challenges for effective</w:t>
            </w:r>
            <w:r w:rsidRPr="00BE2404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HRM related to increasing globalization and diversity of the workforce </w:t>
            </w:r>
          </w:p>
          <w:p w14:paraId="19E8E7E6" w14:textId="77777777" w:rsidR="00B3099C" w:rsidRPr="0088677D" w:rsidRDefault="00B3099C" w:rsidP="00B3099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be able to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discuss and explain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the multi-actor and multi-level perspective in HRM</w:t>
            </w:r>
          </w:p>
          <w:p w14:paraId="785DF565" w14:textId="5B32AA4E" w:rsidR="004B53A6" w:rsidRPr="0088677D" w:rsidRDefault="00B3099C" w:rsidP="0088677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be able to</w:t>
            </w:r>
            <w:r w:rsidRPr="0088677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discuss and explain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the </w:t>
            </w:r>
            <w:r w:rsidR="00B32BCA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different roles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that the HR department/professionals, the line managers, and </w:t>
            </w:r>
            <w:proofErr w:type="gramStart"/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th</w:t>
            </w:r>
            <w:r w:rsidR="00B32BCA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e  individual</w:t>
            </w:r>
            <w:proofErr w:type="gramEnd"/>
            <w:r w:rsidR="00B32BCA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 xml:space="preserve"> employees </w:t>
            </w:r>
            <w:r w:rsidRPr="0088677D">
              <w:rPr>
                <w:rFonts w:cs="Calibri"/>
                <w:b w:val="0"/>
                <w:color w:val="000000" w:themeColor="text1"/>
                <w:sz w:val="20"/>
                <w:szCs w:val="20"/>
                <w:lang w:val="en-US"/>
              </w:rPr>
              <w:t>play for the effective implementation of HRM policies and practices</w:t>
            </w:r>
          </w:p>
          <w:p w14:paraId="56F178C9" w14:textId="20264CD3" w:rsidR="0088677D" w:rsidRPr="0088677D" w:rsidRDefault="0088677D" w:rsidP="0088677D">
            <w:pPr>
              <w:pStyle w:val="Paragrafoelenco"/>
              <w:spacing w:after="0" w:line="240" w:lineRule="auto"/>
              <w:ind w:left="393"/>
              <w:rPr>
                <w:rFonts w:cs="Calibri"/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4B53A6" w:rsidRPr="001456A5" w14:paraId="59A147EF" w14:textId="77777777" w:rsidTr="004B53A6">
        <w:tc>
          <w:tcPr>
            <w:tcW w:w="392" w:type="dxa"/>
            <w:vAlign w:val="center"/>
          </w:tcPr>
          <w:p w14:paraId="6D2D898E" w14:textId="2707C7FA" w:rsidR="004B53A6" w:rsidRPr="00BE3C30" w:rsidRDefault="004B53A6" w:rsidP="004B53A6">
            <w:pPr>
              <w:rPr>
                <w:rFonts w:cs="Calibri"/>
                <w:b w:val="0"/>
                <w:bCs/>
                <w:smallCaps/>
                <w:sz w:val="20"/>
                <w:szCs w:val="20"/>
              </w:rPr>
            </w:pPr>
            <w:r w:rsidRPr="00BE3C30">
              <w:rPr>
                <w:rFonts w:cs="Calibri"/>
                <w:b w:val="0"/>
                <w:bCs/>
                <w:smallCaps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0703000E" w14:textId="77777777" w:rsidR="004B53A6" w:rsidRPr="00BE3C30" w:rsidRDefault="004B53A6" w:rsidP="004B53A6">
            <w:pPr>
              <w:spacing w:after="0"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sz w:val="20"/>
                <w:szCs w:val="20"/>
                <w:lang w:val="en-US"/>
              </w:rPr>
              <w:t>Prerequisites and learning activities</w:t>
            </w:r>
          </w:p>
        </w:tc>
        <w:tc>
          <w:tcPr>
            <w:tcW w:w="7052" w:type="dxa"/>
          </w:tcPr>
          <w:p w14:paraId="1925C91E" w14:textId="69CF5955" w:rsidR="004B53A6" w:rsidRPr="001456A5" w:rsidRDefault="004B53A6" w:rsidP="008D5245">
            <w:pPr>
              <w:spacing w:after="0" w:line="240" w:lineRule="auto"/>
              <w:ind w:left="33" w:hanging="33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 w:rsidRPr="00F77DED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The student must know the basic notions of </w:t>
            </w:r>
            <w:r w:rsidR="00BE2404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m</w:t>
            </w:r>
            <w:r w:rsidR="008D5245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anagement</w:t>
            </w:r>
            <w:r w:rsidRPr="00F77DED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contained in the </w:t>
            </w:r>
            <w:r w:rsidR="008D5245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“</w:t>
            </w:r>
            <w:proofErr w:type="spellStart"/>
            <w:r w:rsidR="008D5245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Economia</w:t>
            </w:r>
            <w:proofErr w:type="spellEnd"/>
            <w:r w:rsidR="008D5245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5245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Aziendale</w:t>
            </w:r>
            <w:proofErr w:type="spellEnd"/>
            <w:r w:rsidR="008D5245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” course</w:t>
            </w:r>
          </w:p>
        </w:tc>
      </w:tr>
      <w:tr w:rsidR="004B53A6" w:rsidRPr="00F77DED" w14:paraId="2A006329" w14:textId="77777777" w:rsidTr="004B53A6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B5172F8" w14:textId="77777777" w:rsidR="004B53A6" w:rsidRPr="00BE3C30" w:rsidRDefault="004B53A6" w:rsidP="004B53A6">
            <w:pPr>
              <w:rPr>
                <w:rFonts w:cs="Calibri"/>
                <w:b w:val="0"/>
                <w:bCs/>
                <w:smallCaps/>
                <w:sz w:val="20"/>
                <w:szCs w:val="20"/>
              </w:rPr>
            </w:pPr>
            <w:r w:rsidRPr="00BE3C30">
              <w:rPr>
                <w:rFonts w:cs="Calibri"/>
                <w:b w:val="0"/>
                <w:bCs/>
                <w:smallCap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EB45116" w14:textId="77777777" w:rsidR="004B53A6" w:rsidRPr="00BE3C30" w:rsidRDefault="004B53A6" w:rsidP="004B53A6">
            <w:pPr>
              <w:spacing w:after="0"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sz w:val="20"/>
                <w:szCs w:val="20"/>
                <w:lang w:val="en-US"/>
              </w:rPr>
              <w:t>Teaching methods</w:t>
            </w:r>
          </w:p>
          <w:p w14:paraId="06978D4A" w14:textId="77777777" w:rsidR="004B53A6" w:rsidRPr="00BE3C30" w:rsidRDefault="004B53A6" w:rsidP="004B53A6">
            <w:pPr>
              <w:spacing w:after="0"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sz w:val="20"/>
                <w:szCs w:val="20"/>
                <w:lang w:val="en-US"/>
              </w:rPr>
              <w:t>and language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6DAF9892" w14:textId="4D2256A9" w:rsidR="00715D2E" w:rsidRDefault="00715D2E" w:rsidP="004B53A6">
            <w:pPr>
              <w:spacing w:after="0" w:line="240" w:lineRule="auto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 w:rsidRPr="00715D2E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This course </w:t>
            </w:r>
            <w:r w:rsidR="00BE2404">
              <w:rPr>
                <w:rFonts w:cs="Arial"/>
                <w:b w:val="0"/>
                <w:bCs/>
                <w:sz w:val="20"/>
                <w:szCs w:val="20"/>
                <w:lang w:val="en-US"/>
              </w:rPr>
              <w:t>adopts</w:t>
            </w:r>
            <w:r w:rsidRPr="00715D2E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an active learning approach. This means that there will be lectures but we will also spend a great deal of time in class discussions and </w:t>
            </w: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individual and </w:t>
            </w:r>
            <w:r w:rsidRPr="00715D2E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group exercises based on the analysis of real-world cases of companies and organizations. A varied classroom approach will be adopted, including lectures, cases, </w:t>
            </w: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individual exercises, </w:t>
            </w:r>
            <w:r w:rsidRPr="00715D2E">
              <w:rPr>
                <w:rFonts w:cs="Arial"/>
                <w:b w:val="0"/>
                <w:bCs/>
                <w:sz w:val="20"/>
                <w:szCs w:val="20"/>
                <w:lang w:val="en-US"/>
              </w:rPr>
              <w:t>team projects, students’ presentations and other experiential training techniques.</w:t>
            </w:r>
          </w:p>
          <w:p w14:paraId="377012E7" w14:textId="77777777" w:rsidR="0077159B" w:rsidRPr="0077159B" w:rsidRDefault="0077159B" w:rsidP="0077159B">
            <w:pPr>
              <w:spacing w:after="0" w:line="240" w:lineRule="auto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 w:rsidRPr="0077159B">
              <w:rPr>
                <w:rFonts w:cs="Arial"/>
                <w:b w:val="0"/>
                <w:bCs/>
                <w:sz w:val="20"/>
                <w:szCs w:val="20"/>
                <w:lang w:val="en-US"/>
              </w:rPr>
              <w:t>Students are strongly recommended to attend class on a regular basis.</w:t>
            </w:r>
          </w:p>
          <w:p w14:paraId="6192080D" w14:textId="2A20D7C6" w:rsidR="0077159B" w:rsidRPr="0077159B" w:rsidRDefault="0077159B" w:rsidP="0077159B">
            <w:pPr>
              <w:spacing w:after="0" w:line="240" w:lineRule="auto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 w:rsidRPr="0077159B">
              <w:rPr>
                <w:rFonts w:cs="Arial"/>
                <w:b w:val="0"/>
                <w:bCs/>
                <w:sz w:val="20"/>
                <w:szCs w:val="20"/>
                <w:lang w:val="en-US"/>
              </w:rPr>
              <w:lastRenderedPageBreak/>
              <w:t xml:space="preserve">The attendance requirement will be enforced through the participation to project works that the instructor will assign to teams of students. Based on the instructor’s evaluation, each team will receive </w:t>
            </w:r>
            <w:r w:rsidR="00B37FAF">
              <w:rPr>
                <w:rFonts w:cs="Arial"/>
                <w:b w:val="0"/>
                <w:bCs/>
                <w:sz w:val="20"/>
                <w:szCs w:val="20"/>
                <w:lang w:val="en-US"/>
              </w:rPr>
              <w:t>an evaluation in points (up to 4</w:t>
            </w:r>
            <w:r w:rsidRPr="0077159B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points). These bonus grade points will be awarded to each member of the groups and added to his/her final grade.</w:t>
            </w:r>
          </w:p>
          <w:p w14:paraId="2006700D" w14:textId="203C01D3" w:rsidR="0077159B" w:rsidRDefault="0077159B" w:rsidP="0077159B">
            <w:pPr>
              <w:spacing w:after="0" w:line="240" w:lineRule="auto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 w:rsidRPr="0077159B">
              <w:rPr>
                <w:rFonts w:cs="Arial"/>
                <w:bCs/>
                <w:sz w:val="20"/>
                <w:szCs w:val="20"/>
                <w:lang w:val="en-US"/>
              </w:rPr>
              <w:t>Language of the course:</w:t>
            </w:r>
            <w:r w:rsidRPr="0077159B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Italian</w:t>
            </w: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(90%)</w:t>
            </w:r>
            <w:r w:rsidRPr="0077159B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and English</w:t>
            </w:r>
            <w:r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(10%)</w:t>
            </w:r>
          </w:p>
          <w:p w14:paraId="4FFBB40A" w14:textId="77777777" w:rsidR="0077159B" w:rsidRPr="0077159B" w:rsidRDefault="0077159B" w:rsidP="0077159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77159B">
              <w:rPr>
                <w:rFonts w:cs="Calibri"/>
                <w:bCs/>
                <w:sz w:val="20"/>
                <w:szCs w:val="20"/>
                <w:lang w:val="en-US"/>
              </w:rPr>
              <w:t>Ref. Text books</w:t>
            </w:r>
          </w:p>
          <w:p w14:paraId="0636B469" w14:textId="77777777" w:rsidR="0077159B" w:rsidRPr="0077159B" w:rsidRDefault="0077159B" w:rsidP="0077159B">
            <w:pPr>
              <w:spacing w:after="0" w:line="240" w:lineRule="auto"/>
              <w:rPr>
                <w:rFonts w:cs="Calibri"/>
                <w:b w:val="0"/>
                <w:bCs/>
                <w:sz w:val="20"/>
                <w:szCs w:val="20"/>
                <w:lang w:val="en-US"/>
              </w:rPr>
            </w:pP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in Italian:</w:t>
            </w:r>
          </w:p>
          <w:p w14:paraId="7BB3CC46" w14:textId="77777777" w:rsidR="0077159B" w:rsidRPr="0077159B" w:rsidRDefault="0077159B" w:rsidP="0077159B">
            <w:pPr>
              <w:spacing w:after="0" w:line="240" w:lineRule="auto"/>
              <w:rPr>
                <w:rFonts w:cs="Calibri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Gabrielli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Profili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S. "</w:t>
            </w: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Organizzazione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Gestione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delle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Risorse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Umane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". </w:t>
            </w: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Isedi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 2012 (Chapters 1,4,5,6,7,8,9,10,11,13,14,15,16)</w:t>
            </w:r>
          </w:p>
          <w:p w14:paraId="3BB0991C" w14:textId="77777777" w:rsidR="0077159B" w:rsidRPr="0077159B" w:rsidRDefault="0077159B" w:rsidP="0077159B">
            <w:pPr>
              <w:spacing w:after="0" w:line="240" w:lineRule="auto"/>
              <w:rPr>
                <w:rFonts w:cs="Calibri"/>
                <w:b w:val="0"/>
                <w:bCs/>
                <w:sz w:val="20"/>
                <w:szCs w:val="20"/>
                <w:lang w:val="en-US"/>
              </w:rPr>
            </w:pP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in English:</w:t>
            </w:r>
          </w:p>
          <w:p w14:paraId="00EE8E6F" w14:textId="58FD7403" w:rsidR="0077159B" w:rsidRPr="0077159B" w:rsidRDefault="0077159B" w:rsidP="0077159B">
            <w:pPr>
              <w:spacing w:after="0" w:line="240" w:lineRule="auto"/>
              <w:rPr>
                <w:rFonts w:cs="Calibri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Noe</w:t>
            </w:r>
            <w:proofErr w:type="spellEnd"/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 R.A., Hollenbeck, J.R., Gerhart B., Wright P.M., (2014). Fundamentals of Human Resource Management, 5/e, McGr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 xml:space="preserve">aw-Hill, ISBN: 0078112613 (Chapters 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2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5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6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7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8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9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11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12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15</w:t>
            </w:r>
            <w:r>
              <w:rPr>
                <w:rFonts w:cs="Calibri"/>
                <w:b w:val="0"/>
                <w:bCs/>
                <w:sz w:val="20"/>
                <w:szCs w:val="20"/>
                <w:lang w:val="en-US"/>
              </w:rPr>
              <w:t>,</w:t>
            </w: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16).</w:t>
            </w:r>
          </w:p>
          <w:p w14:paraId="50CB8028" w14:textId="5ADAE1D5" w:rsidR="004B53A6" w:rsidRPr="00F77DED" w:rsidRDefault="0077159B" w:rsidP="0077159B">
            <w:pPr>
              <w:spacing w:after="0" w:line="240" w:lineRule="auto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  <w:r w:rsidRPr="0077159B">
              <w:rPr>
                <w:rFonts w:cs="Calibri"/>
                <w:b w:val="0"/>
                <w:bCs/>
                <w:sz w:val="20"/>
                <w:szCs w:val="20"/>
                <w:lang w:val="en-US"/>
              </w:rPr>
              <w:t>Other course materials provided by the instructor (only for students attending class on a regular basis).</w:t>
            </w:r>
          </w:p>
        </w:tc>
      </w:tr>
      <w:tr w:rsidR="004B53A6" w:rsidRPr="00494221" w14:paraId="57F1955F" w14:textId="77777777" w:rsidTr="004B53A6">
        <w:trPr>
          <w:trHeight w:val="440"/>
        </w:trPr>
        <w:tc>
          <w:tcPr>
            <w:tcW w:w="392" w:type="dxa"/>
            <w:vAlign w:val="center"/>
          </w:tcPr>
          <w:p w14:paraId="6BE8F38F" w14:textId="77777777" w:rsidR="004B53A6" w:rsidRPr="00566FE1" w:rsidRDefault="004B53A6" w:rsidP="004B53A6">
            <w:pPr>
              <w:rPr>
                <w:rFonts w:cs="Calibri"/>
                <w:b w:val="0"/>
                <w:bCs/>
                <w:smallCaps/>
                <w:sz w:val="20"/>
                <w:szCs w:val="20"/>
                <w:lang w:val="en-GB"/>
              </w:rPr>
            </w:pPr>
            <w:r w:rsidRPr="00566FE1">
              <w:rPr>
                <w:rFonts w:cs="Calibri"/>
                <w:b w:val="0"/>
                <w:bCs/>
                <w:smallCaps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62D4A2B8" w14:textId="77777777" w:rsidR="004B53A6" w:rsidRPr="00BE3C30" w:rsidRDefault="004B53A6" w:rsidP="004B53A6">
            <w:pPr>
              <w:spacing w:after="0" w:line="240" w:lineRule="auto"/>
              <w:rPr>
                <w:rFonts w:cs="Calibri"/>
                <w:b w:val="0"/>
                <w:sz w:val="20"/>
                <w:szCs w:val="20"/>
                <w:lang w:val="en-US"/>
              </w:rPr>
            </w:pPr>
            <w:r w:rsidRPr="00BE3C30">
              <w:rPr>
                <w:rFonts w:cs="Calibri"/>
                <w:b w:val="0"/>
                <w:sz w:val="20"/>
                <w:szCs w:val="20"/>
                <w:lang w:val="en-US"/>
              </w:rPr>
              <w:t>Assessment methods and criteria</w:t>
            </w:r>
          </w:p>
        </w:tc>
        <w:tc>
          <w:tcPr>
            <w:tcW w:w="7052" w:type="dxa"/>
          </w:tcPr>
          <w:p w14:paraId="12734ABB" w14:textId="1587A4F2" w:rsidR="004B53A6" w:rsidRPr="00BE2404" w:rsidRDefault="004B53A6" w:rsidP="004B53A6">
            <w:pPr>
              <w:spacing w:after="0" w:line="240" w:lineRule="auto"/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</w:pP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Formative assessment</w:t>
            </w: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DD2890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>individual and team i</w:t>
            </w:r>
            <w:r w:rsidR="00CA484C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n-class exercises </w:t>
            </w:r>
            <w:r w:rsidR="0088677D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>are used during the course</w:t>
            </w:r>
            <w:r w:rsidR="00DD2890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 to encourage</w:t>
            </w:r>
            <w:r w:rsidR="0088677D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 students</w:t>
            </w:r>
            <w:r w:rsidR="00DD2890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 to critically evaluate the topics and concepts covered by the course and how they can be applied in real organizations.</w:t>
            </w:r>
          </w:p>
          <w:p w14:paraId="769E52DB" w14:textId="77777777" w:rsidR="00DD2890" w:rsidRPr="00BE2404" w:rsidRDefault="004B53A6" w:rsidP="00DD2890">
            <w:pPr>
              <w:spacing w:after="0" w:line="240" w:lineRule="auto"/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</w:pP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Summative assessment</w:t>
            </w: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DD2890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Written exam. </w:t>
            </w:r>
          </w:p>
          <w:p w14:paraId="6BC7E971" w14:textId="38C9AEEB" w:rsidR="00DD2890" w:rsidRPr="00BE2404" w:rsidRDefault="00DD2890" w:rsidP="00BE2404">
            <w:pPr>
              <w:spacing w:after="0" w:line="240" w:lineRule="auto"/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</w:pP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The written exam consists of </w:t>
            </w:r>
            <w:r w:rsidR="000276CB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a 45-minutes in-class </w:t>
            </w: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assessment </w:t>
            </w:r>
            <w:r w:rsidR="000276CB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>composed by closed questions</w:t>
            </w: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76CB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>true or false questions</w:t>
            </w:r>
            <w:r w:rsidR="000276CB"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>, multiple choice questions) and essay questions</w:t>
            </w:r>
            <w:r w:rsidRPr="00BE2404">
              <w:rPr>
                <w:rFonts w:cs="Calibri"/>
                <w:b w:val="0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C06B243" w14:textId="2C4850A7" w:rsidR="004B53A6" w:rsidRPr="00494221" w:rsidRDefault="004B53A6" w:rsidP="00DD2890">
            <w:pPr>
              <w:spacing w:after="0" w:line="240" w:lineRule="auto"/>
              <w:rPr>
                <w:rFonts w:cs="Calibri"/>
                <w:b w:val="0"/>
                <w:bCs/>
                <w:color w:val="0000CC"/>
                <w:sz w:val="20"/>
                <w:szCs w:val="20"/>
                <w:lang w:val="en-US"/>
              </w:rPr>
            </w:pPr>
          </w:p>
        </w:tc>
      </w:tr>
    </w:tbl>
    <w:p w14:paraId="69FC400A" w14:textId="6FBC8486" w:rsidR="004B53A6" w:rsidRDefault="004B53A6" w:rsidP="00B31E8B">
      <w:pPr>
        <w:spacing w:after="0" w:line="240" w:lineRule="auto"/>
        <w:rPr>
          <w:bCs/>
          <w:sz w:val="22"/>
          <w:szCs w:val="22"/>
          <w:lang w:val="en-US"/>
        </w:rPr>
      </w:pPr>
    </w:p>
    <w:sectPr w:rsidR="004B53A6" w:rsidSect="00DF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B00"/>
    <w:multiLevelType w:val="hybridMultilevel"/>
    <w:tmpl w:val="37CCF158"/>
    <w:lvl w:ilvl="0" w:tplc="04100003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20186710"/>
    <w:multiLevelType w:val="hybridMultilevel"/>
    <w:tmpl w:val="50EE4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5B63"/>
    <w:multiLevelType w:val="hybridMultilevel"/>
    <w:tmpl w:val="7908A27C"/>
    <w:lvl w:ilvl="0" w:tplc="8932C38E">
      <w:start w:val="1"/>
      <w:numFmt w:val="bullet"/>
      <w:lvlText w:val="-"/>
      <w:lvlJc w:val="left"/>
      <w:pPr>
        <w:ind w:left="393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5E535C93"/>
    <w:multiLevelType w:val="hybridMultilevel"/>
    <w:tmpl w:val="9D487C40"/>
    <w:lvl w:ilvl="0" w:tplc="04100003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73067D91"/>
    <w:multiLevelType w:val="hybridMultilevel"/>
    <w:tmpl w:val="E5D6D114"/>
    <w:lvl w:ilvl="0" w:tplc="8932C38E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2"/>
    <w:rsid w:val="000065F3"/>
    <w:rsid w:val="0001004F"/>
    <w:rsid w:val="0001491D"/>
    <w:rsid w:val="00016B95"/>
    <w:rsid w:val="000276CB"/>
    <w:rsid w:val="00030835"/>
    <w:rsid w:val="00036B48"/>
    <w:rsid w:val="0005394B"/>
    <w:rsid w:val="00061393"/>
    <w:rsid w:val="00071F1C"/>
    <w:rsid w:val="0008121B"/>
    <w:rsid w:val="000E42F5"/>
    <w:rsid w:val="00106D22"/>
    <w:rsid w:val="00110B9A"/>
    <w:rsid w:val="00124C49"/>
    <w:rsid w:val="00132442"/>
    <w:rsid w:val="00141A0E"/>
    <w:rsid w:val="001456A5"/>
    <w:rsid w:val="00162C63"/>
    <w:rsid w:val="00163FD1"/>
    <w:rsid w:val="001751C2"/>
    <w:rsid w:val="001E0568"/>
    <w:rsid w:val="001F27BB"/>
    <w:rsid w:val="00226919"/>
    <w:rsid w:val="00294C2B"/>
    <w:rsid w:val="002B452A"/>
    <w:rsid w:val="002C1E18"/>
    <w:rsid w:val="002D4C42"/>
    <w:rsid w:val="002E4E37"/>
    <w:rsid w:val="00320E20"/>
    <w:rsid w:val="00323C4A"/>
    <w:rsid w:val="00326EED"/>
    <w:rsid w:val="00351F7A"/>
    <w:rsid w:val="003525F4"/>
    <w:rsid w:val="003657E8"/>
    <w:rsid w:val="00370132"/>
    <w:rsid w:val="003A6B43"/>
    <w:rsid w:val="003C72B5"/>
    <w:rsid w:val="004322EF"/>
    <w:rsid w:val="00455990"/>
    <w:rsid w:val="00455FC7"/>
    <w:rsid w:val="00461C76"/>
    <w:rsid w:val="004663ED"/>
    <w:rsid w:val="00475298"/>
    <w:rsid w:val="00475BC7"/>
    <w:rsid w:val="004823F7"/>
    <w:rsid w:val="00494221"/>
    <w:rsid w:val="004B0F1B"/>
    <w:rsid w:val="004B53A6"/>
    <w:rsid w:val="004C3DF9"/>
    <w:rsid w:val="004E398B"/>
    <w:rsid w:val="004F2F90"/>
    <w:rsid w:val="004F6EF7"/>
    <w:rsid w:val="005062CF"/>
    <w:rsid w:val="0053187C"/>
    <w:rsid w:val="00562795"/>
    <w:rsid w:val="00594778"/>
    <w:rsid w:val="005954C5"/>
    <w:rsid w:val="00633C1C"/>
    <w:rsid w:val="00633CBC"/>
    <w:rsid w:val="00664A52"/>
    <w:rsid w:val="006B137D"/>
    <w:rsid w:val="006C3FF0"/>
    <w:rsid w:val="006E3BD7"/>
    <w:rsid w:val="006E43EB"/>
    <w:rsid w:val="006F01B0"/>
    <w:rsid w:val="00702F30"/>
    <w:rsid w:val="0070307B"/>
    <w:rsid w:val="00715D2E"/>
    <w:rsid w:val="00741FA3"/>
    <w:rsid w:val="00755E73"/>
    <w:rsid w:val="00756F21"/>
    <w:rsid w:val="007656BD"/>
    <w:rsid w:val="0077159B"/>
    <w:rsid w:val="007845F5"/>
    <w:rsid w:val="0079473C"/>
    <w:rsid w:val="00794F17"/>
    <w:rsid w:val="007963F0"/>
    <w:rsid w:val="007A2A06"/>
    <w:rsid w:val="007B00DA"/>
    <w:rsid w:val="007D1602"/>
    <w:rsid w:val="007F6AC1"/>
    <w:rsid w:val="00823B25"/>
    <w:rsid w:val="008254FF"/>
    <w:rsid w:val="00835FA2"/>
    <w:rsid w:val="00880ADD"/>
    <w:rsid w:val="0088677D"/>
    <w:rsid w:val="00887AC1"/>
    <w:rsid w:val="00891E8D"/>
    <w:rsid w:val="008D0BD5"/>
    <w:rsid w:val="008D5245"/>
    <w:rsid w:val="008E066D"/>
    <w:rsid w:val="008E1E71"/>
    <w:rsid w:val="008F7B71"/>
    <w:rsid w:val="009046E7"/>
    <w:rsid w:val="009161A9"/>
    <w:rsid w:val="0095101C"/>
    <w:rsid w:val="009626B9"/>
    <w:rsid w:val="009666FE"/>
    <w:rsid w:val="00992173"/>
    <w:rsid w:val="009B2AC9"/>
    <w:rsid w:val="009B6EB4"/>
    <w:rsid w:val="009D4C14"/>
    <w:rsid w:val="009E12C0"/>
    <w:rsid w:val="009E2804"/>
    <w:rsid w:val="009E2A1B"/>
    <w:rsid w:val="009F19DC"/>
    <w:rsid w:val="009F3BE8"/>
    <w:rsid w:val="00A07546"/>
    <w:rsid w:val="00A16DDA"/>
    <w:rsid w:val="00A274F2"/>
    <w:rsid w:val="00A338F8"/>
    <w:rsid w:val="00A66169"/>
    <w:rsid w:val="00A756A2"/>
    <w:rsid w:val="00A81411"/>
    <w:rsid w:val="00A83FEA"/>
    <w:rsid w:val="00AA2F8D"/>
    <w:rsid w:val="00AA6F15"/>
    <w:rsid w:val="00AB6428"/>
    <w:rsid w:val="00AC7FEA"/>
    <w:rsid w:val="00AD198D"/>
    <w:rsid w:val="00B0128B"/>
    <w:rsid w:val="00B0209D"/>
    <w:rsid w:val="00B05AF2"/>
    <w:rsid w:val="00B11B8E"/>
    <w:rsid w:val="00B3099C"/>
    <w:rsid w:val="00B31E8B"/>
    <w:rsid w:val="00B32BCA"/>
    <w:rsid w:val="00B37FAF"/>
    <w:rsid w:val="00B66640"/>
    <w:rsid w:val="00B85782"/>
    <w:rsid w:val="00B879D1"/>
    <w:rsid w:val="00B90001"/>
    <w:rsid w:val="00BA3C47"/>
    <w:rsid w:val="00BE2404"/>
    <w:rsid w:val="00BF0FA9"/>
    <w:rsid w:val="00C04FDA"/>
    <w:rsid w:val="00C2127D"/>
    <w:rsid w:val="00C26FE5"/>
    <w:rsid w:val="00C41A03"/>
    <w:rsid w:val="00C43768"/>
    <w:rsid w:val="00C601D7"/>
    <w:rsid w:val="00C66A6D"/>
    <w:rsid w:val="00C73FF4"/>
    <w:rsid w:val="00CA484C"/>
    <w:rsid w:val="00CA70E6"/>
    <w:rsid w:val="00CB1C3D"/>
    <w:rsid w:val="00CC611D"/>
    <w:rsid w:val="00D04A8D"/>
    <w:rsid w:val="00D276D9"/>
    <w:rsid w:val="00D55F1F"/>
    <w:rsid w:val="00D959C9"/>
    <w:rsid w:val="00DB2030"/>
    <w:rsid w:val="00DB75F0"/>
    <w:rsid w:val="00DD2890"/>
    <w:rsid w:val="00DD503C"/>
    <w:rsid w:val="00DF4730"/>
    <w:rsid w:val="00E34122"/>
    <w:rsid w:val="00E6671B"/>
    <w:rsid w:val="00E66C09"/>
    <w:rsid w:val="00E70214"/>
    <w:rsid w:val="00E80D88"/>
    <w:rsid w:val="00EA1135"/>
    <w:rsid w:val="00EB0A19"/>
    <w:rsid w:val="00EB1C78"/>
    <w:rsid w:val="00EE1ED9"/>
    <w:rsid w:val="00EF124A"/>
    <w:rsid w:val="00F0384E"/>
    <w:rsid w:val="00F15429"/>
    <w:rsid w:val="00F2230D"/>
    <w:rsid w:val="00F365C0"/>
    <w:rsid w:val="00F67F7E"/>
    <w:rsid w:val="00F77DED"/>
    <w:rsid w:val="00F97466"/>
    <w:rsid w:val="00F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2F758"/>
  <w15:docId w15:val="{ABC88D25-F5BA-4AC8-A26F-D71D9753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AF2"/>
    <w:pPr>
      <w:spacing w:after="200" w:line="276" w:lineRule="auto"/>
      <w:ind w:left="0" w:firstLine="0"/>
    </w:pPr>
    <w:rPr>
      <w:rFonts w:ascii="Arial Narrow" w:eastAsia="Calibri" w:hAnsi="Arial Narrow" w:cs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AF2"/>
    <w:rPr>
      <w:rFonts w:ascii="Tahoma" w:eastAsia="Calibri" w:hAnsi="Tahoma" w:cs="Tahoma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57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AECAD-5B04-4D17-8A7D-636CC03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Colaiuda</cp:lastModifiedBy>
  <cp:revision>2</cp:revision>
  <dcterms:created xsi:type="dcterms:W3CDTF">2017-04-10T10:48:00Z</dcterms:created>
  <dcterms:modified xsi:type="dcterms:W3CDTF">2017-04-10T10:48:00Z</dcterms:modified>
</cp:coreProperties>
</file>