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42"/>
        <w:gridCol w:w="1971"/>
        <w:gridCol w:w="2624"/>
        <w:gridCol w:w="3310"/>
      </w:tblGrid>
      <w:tr w:rsidR="00000000">
        <w:trPr>
          <w:trHeight w:val="315"/>
        </w:trPr>
        <w:tc>
          <w:tcPr>
            <w:tcW w:w="63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B4D4F">
            <w:pPr>
              <w:rPr>
                <w:b/>
              </w:rPr>
            </w:pPr>
            <w:r>
              <w:t>Course title:</w:t>
            </w:r>
          </w:p>
          <w:p w:rsidR="00000000" w:rsidRDefault="002B4D4F">
            <w:pPr>
              <w:rPr>
                <w:rFonts w:eastAsia="Times New Roman"/>
                <w:lang w:val="en-US" w:eastAsia="it-IT"/>
              </w:rPr>
            </w:pPr>
            <w:r>
              <w:rPr>
                <w:b/>
              </w:rPr>
              <w:t>Regional</w:t>
            </w:r>
            <w:r w:rsidR="009E14A9">
              <w:rPr>
                <w:b/>
              </w:rPr>
              <w:t xml:space="preserve"> and Local Authorities</w:t>
            </w:r>
            <w:r>
              <w:rPr>
                <w:b/>
              </w:rPr>
              <w:t xml:space="preserve"> Law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B4D4F">
            <w:pPr>
              <w:rPr>
                <w:lang w:val="en-US"/>
              </w:rPr>
            </w:pPr>
            <w:r>
              <w:rPr>
                <w:rFonts w:eastAsia="Times New Roman"/>
                <w:lang w:val="en-US" w:eastAsia="it-IT"/>
              </w:rPr>
              <w:t>Language of the course:</w:t>
            </w:r>
          </w:p>
          <w:p w:rsidR="00000000" w:rsidRDefault="002B4D4F">
            <w:r>
              <w:rPr>
                <w:lang w:val="en-US"/>
              </w:rPr>
              <w:t> </w:t>
            </w:r>
            <w:r>
              <w:rPr>
                <w:b/>
                <w:lang w:val="en-US"/>
              </w:rPr>
              <w:t>Italian</w:t>
            </w:r>
          </w:p>
        </w:tc>
      </w:tr>
      <w:tr w:rsidR="00000000">
        <w:trPr>
          <w:trHeight w:val="315"/>
        </w:trPr>
        <w:tc>
          <w:tcPr>
            <w:tcW w:w="964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B4D4F">
            <w:r>
              <w:t>Lecturer</w:t>
            </w:r>
            <w:r w:rsidR="009E14A9">
              <w:t>s</w:t>
            </w:r>
            <w:r>
              <w:t xml:space="preserve">: </w:t>
            </w:r>
            <w:r>
              <w:rPr>
                <w:b/>
              </w:rPr>
              <w:t>Prof. Fabrizio POLITI</w:t>
            </w:r>
            <w:r w:rsidR="009E14A9">
              <w:rPr>
                <w:b/>
              </w:rPr>
              <w:t>, Prof. Giovanni DI PANGRAZIO</w:t>
            </w:r>
          </w:p>
          <w:p w:rsidR="00000000" w:rsidRDefault="002B4D4F"/>
        </w:tc>
      </w:tr>
      <w:tr w:rsidR="00000000">
        <w:trPr>
          <w:trHeight w:val="315"/>
        </w:trPr>
        <w:tc>
          <w:tcPr>
            <w:tcW w:w="6337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00000" w:rsidRDefault="002B4D4F">
            <w:r>
              <w:t xml:space="preserve">Total number of hours: </w:t>
            </w:r>
            <w:r>
              <w:rPr>
                <w:b/>
              </w:rPr>
              <w:t>4</w:t>
            </w:r>
            <w:r>
              <w:rPr>
                <w:b/>
              </w:rPr>
              <w:t>2</w:t>
            </w:r>
          </w:p>
          <w:p w:rsidR="00000000" w:rsidRDefault="002B4D4F">
            <w:pPr>
              <w:rPr>
                <w:rFonts w:eastAsia="Times New Roman"/>
                <w:lang w:eastAsia="it-IT"/>
              </w:rPr>
            </w:pPr>
            <w:r>
              <w:t> </w:t>
            </w:r>
          </w:p>
        </w:tc>
        <w:tc>
          <w:tcPr>
            <w:tcW w:w="331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B4D4F">
            <w:r>
              <w:rPr>
                <w:rFonts w:eastAsia="Times New Roman"/>
                <w:lang w:eastAsia="it-IT"/>
              </w:rPr>
              <w:t xml:space="preserve">ECTS credits: </w:t>
            </w:r>
            <w:r w:rsidR="009E14A9">
              <w:rPr>
                <w:rFonts w:eastAsia="Times New Roman"/>
                <w:b/>
                <w:lang w:eastAsia="it-IT"/>
              </w:rPr>
              <w:t>9</w:t>
            </w:r>
          </w:p>
          <w:p w:rsidR="00000000" w:rsidRDefault="002B4D4F"/>
        </w:tc>
      </w:tr>
      <w:tr w:rsidR="00000000">
        <w:trPr>
          <w:trHeight w:val="743"/>
        </w:trPr>
        <w:tc>
          <w:tcPr>
            <w:tcW w:w="1742" w:type="dxa"/>
            <w:vMerge w:val="restart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jc w:val="center"/>
            </w:pPr>
            <w:r>
              <w:rPr>
                <w:rFonts w:eastAsia="Times New Roman"/>
                <w:lang w:eastAsia="it-IT"/>
              </w:rPr>
              <w:t>Course period</w:t>
            </w:r>
          </w:p>
        </w:tc>
        <w:tc>
          <w:tcPr>
            <w:tcW w:w="19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r>
              <w:t>1</w:t>
            </w:r>
            <w:r>
              <w:rPr>
                <w:position w:val="12"/>
                <w:sz w:val="20"/>
              </w:rPr>
              <w:t>st</w:t>
            </w:r>
            <w:r>
              <w:t xml:space="preserve"> semester</w:t>
            </w:r>
          </w:p>
        </w:tc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r>
              <w:t>1</w:t>
            </w:r>
            <w:r>
              <w:rPr>
                <w:position w:val="12"/>
                <w:sz w:val="20"/>
              </w:rPr>
              <w:t xml:space="preserve"> st</w:t>
            </w:r>
            <w:r>
              <w:t xml:space="preserve"> term: </w:t>
            </w:r>
            <w:r>
              <w:t></w:t>
            </w: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r>
              <w:t>2</w:t>
            </w:r>
            <w:r>
              <w:rPr>
                <w:position w:val="12"/>
                <w:sz w:val="20"/>
              </w:rPr>
              <w:t xml:space="preserve"> nd</w:t>
            </w:r>
            <w:r>
              <w:t xml:space="preserve"> term: </w:t>
            </w:r>
            <w:r>
              <w:t></w:t>
            </w:r>
          </w:p>
        </w:tc>
      </w:tr>
      <w:tr w:rsidR="00000000">
        <w:trPr>
          <w:trHeight w:val="743"/>
        </w:trPr>
        <w:tc>
          <w:tcPr>
            <w:tcW w:w="1742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snapToGrid w:val="0"/>
            </w:pPr>
          </w:p>
        </w:tc>
        <w:tc>
          <w:tcPr>
            <w:tcW w:w="19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rPr>
                <w:b/>
              </w:rPr>
            </w:pPr>
            <w:r>
              <w:rPr>
                <w:b/>
                <w:u w:val="single"/>
              </w:rPr>
              <w:t>2</w:t>
            </w:r>
            <w:r>
              <w:rPr>
                <w:b/>
                <w:position w:val="12"/>
                <w:sz w:val="20"/>
                <w:u w:val="single"/>
              </w:rPr>
              <w:t>nd</w:t>
            </w:r>
            <w:r>
              <w:rPr>
                <w:b/>
                <w:u w:val="single"/>
              </w:rPr>
              <w:t xml:space="preserve"> semester</w:t>
            </w:r>
          </w:p>
          <w:p w:rsidR="00000000" w:rsidRDefault="002B4D4F">
            <w:pPr>
              <w:rPr>
                <w:b/>
              </w:rPr>
            </w:pPr>
          </w:p>
        </w:tc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rPr>
                <w:b/>
              </w:rPr>
            </w:pPr>
            <w:r>
              <w:rPr>
                <w:b/>
                <w:u w:val="single"/>
              </w:rPr>
              <w:t>1</w:t>
            </w:r>
            <w:r>
              <w:rPr>
                <w:b/>
                <w:position w:val="12"/>
                <w:sz w:val="20"/>
                <w:u w:val="single"/>
              </w:rPr>
              <w:t xml:space="preserve"> st</w:t>
            </w:r>
            <w:r>
              <w:rPr>
                <w:b/>
                <w:u w:val="single"/>
              </w:rPr>
              <w:t xml:space="preserve"> term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></w:t>
            </w:r>
          </w:p>
          <w:p w:rsidR="00000000" w:rsidRDefault="002B4D4F">
            <w:pPr>
              <w:rPr>
                <w:b/>
              </w:rPr>
            </w:pP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rPr>
                <w:b/>
              </w:rPr>
            </w:pPr>
            <w:r>
              <w:rPr>
                <w:b/>
                <w:u w:val="single"/>
              </w:rPr>
              <w:t>2</w:t>
            </w:r>
            <w:r>
              <w:rPr>
                <w:b/>
                <w:position w:val="12"/>
                <w:sz w:val="20"/>
                <w:u w:val="single"/>
              </w:rPr>
              <w:t xml:space="preserve"> nd</w:t>
            </w:r>
            <w:r>
              <w:rPr>
                <w:b/>
                <w:u w:val="single"/>
              </w:rPr>
              <w:t xml:space="preserve"> term</w:t>
            </w:r>
            <w:r>
              <w:rPr>
                <w:b/>
              </w:rPr>
              <w:t xml:space="preserve">: </w:t>
            </w:r>
            <w:r>
              <w:rPr>
                <w:b/>
              </w:rPr>
              <w:t></w:t>
            </w:r>
          </w:p>
          <w:p w:rsidR="00000000" w:rsidRDefault="002B4D4F">
            <w:pPr>
              <w:rPr>
                <w:b/>
              </w:rPr>
            </w:pPr>
          </w:p>
        </w:tc>
      </w:tr>
      <w:tr w:rsidR="00000000">
        <w:trPr>
          <w:trHeight w:val="315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B4D4F">
            <w:r>
              <w:t>Course descriptio</w:t>
            </w:r>
            <w:r>
              <w:t xml:space="preserve">n: </w:t>
            </w:r>
          </w:p>
          <w:p w:rsidR="00000000" w:rsidRDefault="002B4D4F"/>
          <w:p w:rsidR="00000000" w:rsidRDefault="002B4D4F">
            <w:pPr>
              <w:rPr>
                <w:rStyle w:val="hps"/>
                <w:color w:val="222222"/>
                <w:lang/>
              </w:rPr>
            </w:pPr>
            <w:r>
              <w:rPr>
                <w:rStyle w:val="hps"/>
                <w:color w:val="222222"/>
                <w:lang/>
              </w:rPr>
              <w:t>The aim of the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course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is to provide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a solid grounding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in the subject.</w:t>
            </w:r>
          </w:p>
          <w:p w:rsidR="009E14A9" w:rsidRDefault="002B4D4F">
            <w:pPr>
              <w:rPr>
                <w:rStyle w:val="hps"/>
                <w:color w:val="222222"/>
                <w:lang/>
              </w:rPr>
            </w:pPr>
            <w:r>
              <w:rPr>
                <w:rStyle w:val="hps"/>
                <w:color w:val="222222"/>
                <w:lang/>
              </w:rPr>
              <w:t>PROGRAM:</w:t>
            </w:r>
            <w:r>
              <w:rPr>
                <w:color w:val="222222"/>
                <w:lang/>
              </w:rPr>
              <w:br/>
            </w:r>
            <w:r>
              <w:rPr>
                <w:rStyle w:val="hps"/>
                <w:color w:val="222222"/>
                <w:lang/>
              </w:rPr>
              <w:t>The model of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regional state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outlined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in the Constitution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of 1948.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The implementation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of the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legislative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Seventies.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The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constitutional amendments of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1999 and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2001.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Regions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a</w:t>
            </w:r>
            <w:r>
              <w:rPr>
                <w:rStyle w:val="hps"/>
                <w:color w:val="222222"/>
                <w:lang/>
              </w:rPr>
              <w:t>nd Local Authorities.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The organization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of the Region.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The Regional Council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 Board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and the President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of the Region.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The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statutory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authority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legislative power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regulatory powers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 administrative functions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 financial autonomy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 controls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 connections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between State and Regions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 dispute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State-Regions</w:t>
            </w:r>
            <w:r>
              <w:rPr>
                <w:color w:val="222222"/>
                <w:lang/>
              </w:rPr>
              <w:t xml:space="preserve">. </w:t>
            </w:r>
            <w:r>
              <w:rPr>
                <w:rStyle w:val="hps"/>
                <w:color w:val="222222"/>
                <w:lang/>
              </w:rPr>
              <w:t>The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Fiscal Federalism</w:t>
            </w:r>
            <w:r>
              <w:rPr>
                <w:color w:val="222222"/>
                <w:lang/>
              </w:rPr>
              <w:t>.</w:t>
            </w:r>
            <w:r>
              <w:rPr>
                <w:color w:val="222222"/>
                <w:lang/>
              </w:rPr>
              <w:br/>
            </w:r>
            <w:r w:rsidR="009E14A9">
              <w:rPr>
                <w:rStyle w:val="hps"/>
                <w:color w:val="222222"/>
                <w:lang/>
              </w:rPr>
              <w:t>(</w:t>
            </w:r>
            <w:r>
              <w:rPr>
                <w:rStyle w:val="hps"/>
                <w:color w:val="222222"/>
                <w:lang/>
              </w:rPr>
              <w:t>NB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The program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is the same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also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for those who need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to take the exam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in Constitutional Law</w:t>
            </w:r>
            <w:r>
              <w:rPr>
                <w:color w:val="222222"/>
                <w:lang/>
              </w:rPr>
              <w:br/>
            </w:r>
            <w:r>
              <w:rPr>
                <w:rStyle w:val="hps"/>
                <w:color w:val="222222"/>
                <w:lang/>
              </w:rPr>
              <w:t>Regional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provided in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Bachelor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former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d.m.509</w:t>
            </w:r>
            <w:r w:rsidR="009E14A9">
              <w:rPr>
                <w:rStyle w:val="hps"/>
                <w:color w:val="222222"/>
                <w:lang/>
              </w:rPr>
              <w:t>)</w:t>
            </w:r>
          </w:p>
          <w:p w:rsidR="009E14A9" w:rsidRPr="009E14A9" w:rsidRDefault="009E14A9" w:rsidP="009E14A9">
            <w:pPr>
              <w:pStyle w:val="PreformattatoHTML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>General features of the law of Local A</w:t>
            </w:r>
            <w:r w:rsidRPr="009E14A9"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>uthorities.</w:t>
            </w:r>
            <w:r>
              <w:rPr>
                <w:color w:val="212121"/>
                <w:lang/>
              </w:rPr>
              <w:t xml:space="preserve"> </w:t>
            </w:r>
            <w:r w:rsidRPr="009E14A9"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 xml:space="preserve">Autonomy of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 xml:space="preserve"> Local A</w:t>
            </w:r>
            <w:r w:rsidRPr="009E14A9"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>uthorities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 xml:space="preserve">. </w:t>
            </w:r>
            <w:r w:rsidRPr="009E14A9"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 xml:space="preserve">Forms of participation and access of the citizen. The Municipality and the Province. The acts of the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 xml:space="preserve">Local </w:t>
            </w:r>
            <w:r w:rsidR="00BD34DE"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>Authorities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 xml:space="preserve">. 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Pr="009E14A9"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>The Controls. Organization and staff in</w:t>
            </w:r>
            <w:r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 xml:space="preserve"> the Local Authorities.</w:t>
            </w:r>
            <w:r w:rsidRPr="009E14A9">
              <w:rPr>
                <w:rFonts w:ascii="Times New Roman" w:hAnsi="Times New Roman" w:cs="Times New Roman"/>
                <w:color w:val="212121"/>
                <w:sz w:val="24"/>
                <w:szCs w:val="24"/>
                <w:lang/>
              </w:rPr>
              <w:t xml:space="preserve"> Finance and local accounting.</w:t>
            </w:r>
          </w:p>
          <w:p w:rsidR="00000000" w:rsidRDefault="002B4D4F">
            <w:pPr>
              <w:rPr>
                <w:rFonts w:eastAsia="Times New Roman"/>
                <w:lang w:val="en-US" w:eastAsia="it-IT"/>
              </w:rPr>
            </w:pPr>
            <w:r w:rsidRPr="009E14A9">
              <w:rPr>
                <w:color w:val="222222"/>
                <w:lang/>
              </w:rPr>
              <w:br/>
            </w:r>
            <w:r>
              <w:rPr>
                <w:color w:val="222222"/>
                <w:lang/>
              </w:rPr>
              <w:br/>
            </w:r>
            <w:r>
              <w:rPr>
                <w:rStyle w:val="hps"/>
                <w:color w:val="222222"/>
                <w:lang/>
              </w:rPr>
              <w:t>PROPEDEUTICS</w:t>
            </w:r>
            <w:r>
              <w:rPr>
                <w:color w:val="222222"/>
                <w:lang/>
              </w:rPr>
              <w:br/>
            </w:r>
            <w:r>
              <w:rPr>
                <w:rStyle w:val="hps"/>
                <w:color w:val="222222"/>
                <w:lang/>
              </w:rPr>
              <w:t>There are no</w:t>
            </w:r>
            <w:r>
              <w:rPr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prerequisites</w:t>
            </w:r>
            <w:r>
              <w:rPr>
                <w:lang w:val="en-US"/>
              </w:rPr>
              <w:t>.</w:t>
            </w:r>
          </w:p>
          <w:p w:rsidR="00000000" w:rsidRDefault="002B4D4F">
            <w:pPr>
              <w:rPr>
                <w:rFonts w:eastAsia="Times New Roman"/>
                <w:lang w:val="en-US" w:eastAsia="it-IT"/>
              </w:rPr>
            </w:pPr>
          </w:p>
        </w:tc>
      </w:tr>
      <w:tr w:rsidR="00000000">
        <w:trPr>
          <w:trHeight w:val="743"/>
        </w:trPr>
        <w:tc>
          <w:tcPr>
            <w:tcW w:w="17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jc w:val="center"/>
              <w:rPr>
                <w:b/>
                <w:lang w:val="en-GB"/>
              </w:rPr>
            </w:pPr>
            <w:r>
              <w:rPr>
                <w:rFonts w:eastAsia="Times New Roman"/>
                <w:lang w:val="en-US" w:eastAsia="it-IT"/>
              </w:rPr>
              <w:t>Assessment method</w:t>
            </w:r>
          </w:p>
        </w:tc>
        <w:tc>
          <w:tcPr>
            <w:tcW w:w="19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rPr>
                <w:lang w:val="en-US"/>
              </w:rPr>
            </w:pPr>
            <w:r>
              <w:rPr>
                <w:b/>
                <w:lang w:val="en-GB"/>
              </w:rPr>
              <w:t>Oral exam</w:t>
            </w:r>
          </w:p>
        </w:tc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rPr>
                <w:lang w:val="en-US"/>
              </w:rPr>
            </w:pPr>
            <w:r>
              <w:rPr>
                <w:lang w:val="en-US"/>
              </w:rPr>
              <w:t xml:space="preserve">Written exam: </w:t>
            </w:r>
            <w:r>
              <w:t></w:t>
            </w: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r>
              <w:rPr>
                <w:lang w:val="en-US"/>
              </w:rPr>
              <w:t xml:space="preserve">Assignments: </w:t>
            </w:r>
            <w:r>
              <w:t></w:t>
            </w:r>
          </w:p>
        </w:tc>
      </w:tr>
      <w:tr w:rsidR="00000000">
        <w:trPr>
          <w:trHeight w:val="743"/>
        </w:trPr>
        <w:tc>
          <w:tcPr>
            <w:tcW w:w="1742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jc w:val="center"/>
              <w:rPr>
                <w:b/>
                <w:lang w:val="en-GB"/>
              </w:rPr>
            </w:pPr>
            <w:r>
              <w:rPr>
                <w:rFonts w:eastAsia="Times New Roman"/>
                <w:lang w:val="en-US" w:eastAsia="it-IT"/>
              </w:rPr>
              <w:t>Language of the exam</w:t>
            </w:r>
          </w:p>
        </w:tc>
        <w:tc>
          <w:tcPr>
            <w:tcW w:w="1971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rPr>
                <w:lang w:val="en-US"/>
              </w:rPr>
            </w:pPr>
            <w:r>
              <w:rPr>
                <w:b/>
                <w:lang w:val="en-GB"/>
              </w:rPr>
              <w:t xml:space="preserve">Italian </w:t>
            </w:r>
            <w:r>
              <w:rPr>
                <w:b/>
              </w:rPr>
              <w:t></w:t>
            </w:r>
          </w:p>
        </w:tc>
        <w:tc>
          <w:tcPr>
            <w:tcW w:w="2624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rPr>
                <w:lang w:val="en-US"/>
              </w:rPr>
            </w:pPr>
            <w:r>
              <w:rPr>
                <w:lang w:val="en-US"/>
              </w:rPr>
              <w:t xml:space="preserve">English: </w:t>
            </w:r>
            <w:r>
              <w:t></w:t>
            </w:r>
          </w:p>
        </w:tc>
        <w:tc>
          <w:tcPr>
            <w:tcW w:w="331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00000" w:rsidRDefault="002B4D4F">
            <w:pPr>
              <w:snapToGrid w:val="0"/>
              <w:rPr>
                <w:lang w:val="en-US"/>
              </w:rPr>
            </w:pPr>
          </w:p>
        </w:tc>
      </w:tr>
      <w:tr w:rsidR="00000000">
        <w:trPr>
          <w:trHeight w:val="315"/>
        </w:trPr>
        <w:tc>
          <w:tcPr>
            <w:tcW w:w="96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000000" w:rsidRDefault="002B4D4F">
            <w:r>
              <w:rPr>
                <w:lang w:val="en-US"/>
              </w:rPr>
              <w:t>Reading list i</w:t>
            </w:r>
            <w:r>
              <w:t>n English:</w:t>
            </w:r>
          </w:p>
          <w:p w:rsidR="009E14A9" w:rsidRDefault="009E14A9"/>
          <w:p w:rsidR="00000000" w:rsidRDefault="009E14A9">
            <w:r>
              <w:t>Manual:</w:t>
            </w:r>
          </w:p>
          <w:p w:rsidR="009E14A9" w:rsidRDefault="009E14A9">
            <w:r w:rsidRPr="00410975">
              <w:rPr>
                <w:rFonts w:ascii="Verdana" w:hAnsi="Verdana"/>
                <w:sz w:val="20"/>
                <w:szCs w:val="20"/>
              </w:rPr>
              <w:t>DI</w:t>
            </w:r>
            <w:r>
              <w:rPr>
                <w:rFonts w:ascii="Verdana" w:hAnsi="Verdana"/>
                <w:sz w:val="20"/>
                <w:szCs w:val="20"/>
              </w:rPr>
              <w:t xml:space="preserve"> PANGRAZIO, POLITI</w:t>
            </w:r>
            <w:r w:rsidRPr="00410975">
              <w:rPr>
                <w:rFonts w:ascii="Verdana" w:hAnsi="Verdana"/>
                <w:sz w:val="20"/>
                <w:szCs w:val="20"/>
              </w:rPr>
              <w:t>, Lineamenti di Diritto Regionale e degli Enti Locali, Giappichelli Editore, 2008</w:t>
            </w:r>
            <w:r>
              <w:rPr>
                <w:rFonts w:ascii="Verdana" w:hAnsi="Verdana"/>
                <w:sz w:val="20"/>
                <w:szCs w:val="20"/>
              </w:rPr>
              <w:t>;</w:t>
            </w:r>
          </w:p>
          <w:p w:rsidR="00000000" w:rsidRDefault="002B4D4F">
            <w:pP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>
              <w:rPr>
                <w:rStyle w:val="hps"/>
                <w:color w:val="222222"/>
                <w:lang/>
              </w:rPr>
              <w:t>A</w:t>
            </w:r>
            <w:r>
              <w:rPr>
                <w:rStyle w:val="shorttext"/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manual</w:t>
            </w:r>
            <w:r>
              <w:rPr>
                <w:rStyle w:val="shorttext"/>
                <w:color w:val="222222"/>
                <w:lang/>
              </w:rPr>
              <w:t xml:space="preserve"> </w:t>
            </w:r>
            <w:r>
              <w:rPr>
                <w:rStyle w:val="hps"/>
                <w:color w:val="222222"/>
                <w:lang/>
              </w:rPr>
              <w:t>choice of the following</w:t>
            </w:r>
            <w:r>
              <w:rPr>
                <w:rStyle w:val="shorttext"/>
                <w:color w:val="222222"/>
                <w:lang/>
              </w:rPr>
              <w:t>:</w:t>
            </w:r>
          </w:p>
          <w:p w:rsidR="00000000" w:rsidRDefault="002B4D4F">
            <w:pPr>
              <w:widowControl/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</w:pPr>
            <w: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T. MARTINES, A. RUGGERI, C. SALAZAR, Lineamenti di diritto regionale, Giu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ffrè, Milano, 2012</w:t>
            </w:r>
          </w:p>
          <w:p w:rsidR="00000000" w:rsidRDefault="002B4D4F">
            <w:pPr>
              <w:widowControl/>
            </w:pPr>
            <w: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A. D’ATENA, Diritto regionale, Giappichelli, Torino, 201</w:t>
            </w:r>
            <w:r>
              <w:rPr>
                <w:rFonts w:ascii="Verdana" w:eastAsia="Times New Roman" w:hAnsi="Verdana" w:cs="Verdana"/>
                <w:sz w:val="20"/>
                <w:szCs w:val="20"/>
                <w:lang w:eastAsia="it-IT"/>
              </w:rPr>
              <w:t>7</w:t>
            </w:r>
          </w:p>
          <w:p w:rsidR="00000000" w:rsidRDefault="002B4D4F"/>
          <w:p w:rsidR="00000000" w:rsidRDefault="002B4D4F"/>
          <w:p w:rsidR="00000000" w:rsidRDefault="002B4D4F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</w:rPr>
              <w:t xml:space="preserve"> </w:t>
            </w:r>
          </w:p>
          <w:p w:rsidR="00000000" w:rsidRDefault="002B4D4F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  <w:p w:rsidR="00000000" w:rsidRDefault="002B4D4F">
            <w:pPr>
              <w:rPr>
                <w:rFonts w:eastAsia="Times New Roman"/>
                <w:lang w:eastAsia="it-IT"/>
              </w:rPr>
            </w:pPr>
            <w:r>
              <w:rPr>
                <w:rFonts w:eastAsia="Times New Roman"/>
                <w:lang w:eastAsia="it-IT"/>
              </w:rPr>
              <w:t> </w:t>
            </w:r>
          </w:p>
          <w:p w:rsidR="00000000" w:rsidRDefault="002B4D4F">
            <w:pPr>
              <w:rPr>
                <w:rFonts w:eastAsia="Times New Roman"/>
                <w:lang w:eastAsia="it-IT"/>
              </w:rPr>
            </w:pPr>
          </w:p>
        </w:tc>
      </w:tr>
    </w:tbl>
    <w:p w:rsidR="00000000" w:rsidRDefault="002B4D4F">
      <w:pPr>
        <w:jc w:val="both"/>
      </w:pPr>
      <w:r>
        <w:rPr>
          <w:rFonts w:eastAsia="Times New Roman"/>
        </w:rPr>
        <w:lastRenderedPageBreak/>
        <w:t xml:space="preserve"> </w:t>
      </w:r>
    </w:p>
    <w:p w:rsidR="002B4D4F" w:rsidRDefault="002B4D4F">
      <w:pPr>
        <w:jc w:val="both"/>
      </w:pPr>
    </w:p>
    <w:sectPr w:rsidR="002B4D4F">
      <w:footerReference w:type="default" r:id="rId6"/>
      <w:pgSz w:w="11906" w:h="16838"/>
      <w:pgMar w:top="1417" w:right="1134" w:bottom="1134" w:left="1134" w:header="720" w:footer="708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D4F" w:rsidRDefault="002B4D4F">
      <w:r>
        <w:separator/>
      </w:r>
    </w:p>
  </w:endnote>
  <w:endnote w:type="continuationSeparator" w:id="0">
    <w:p w:rsidR="002B4D4F" w:rsidRDefault="002B4D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DejaVu Sans">
    <w:charset w:val="01"/>
    <w:family w:val="auto"/>
    <w:pitch w:val="variable"/>
    <w:sig w:usb0="00000000" w:usb1="00000000" w:usb2="00000000" w:usb3="00000000" w:csb0="00000000" w:csb1="00000000"/>
  </w:font>
  <w:font w:name="Lohit Hindi">
    <w:altName w:val="Times New Roman"/>
    <w:charset w:val="01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B4D4F">
    <w:pPr>
      <w:pStyle w:val="Pidipagina"/>
    </w:pPr>
    <w:r>
      <w:fldChar w:fldCharType="begin"/>
    </w:r>
    <w:r>
      <w:instrText xml:space="preserve"> FILENAME </w:instrText>
    </w:r>
    <w:r>
      <w:fldChar w:fldCharType="separate"/>
    </w:r>
    <w:r>
      <w:t>Ects diritto regionale</w:t>
    </w:r>
    <w:r w:rsidR="00214C61">
      <w:t xml:space="preserve"> e degli enti locali</w:t>
    </w:r>
    <w:r>
      <w:t>.doc</w:t>
    </w:r>
    <w:r>
      <w:fldChar w:fldCharType="end"/>
    </w:r>
    <w:r>
      <w:tab/>
    </w:r>
    <w:r>
      <w:tab/>
      <w:t xml:space="preserve">Pagina </w:t>
    </w:r>
    <w:r>
      <w:fldChar w:fldCharType="begin"/>
    </w:r>
    <w:r>
      <w:instrText xml:space="preserve"> PAGE </w:instrText>
    </w:r>
    <w:r>
      <w:fldChar w:fldCharType="separate"/>
    </w:r>
    <w:r w:rsidR="00BD34DE">
      <w:rPr>
        <w:noProof/>
      </w:rPr>
      <w:t>1</w:t>
    </w:r>
    <w:r>
      <w:fldChar w:fldCharType="end"/>
    </w:r>
    <w:r>
      <w:t xml:space="preserve"> di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D4F" w:rsidRDefault="002B4D4F">
      <w:r>
        <w:separator/>
      </w:r>
    </w:p>
  </w:footnote>
  <w:footnote w:type="continuationSeparator" w:id="0">
    <w:p w:rsidR="002B4D4F" w:rsidRDefault="002B4D4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oNotTrackMoves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E14A9"/>
    <w:rsid w:val="00214C61"/>
    <w:rsid w:val="002B4D4F"/>
    <w:rsid w:val="009E14A9"/>
    <w:rsid w:val="00BD3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  <w:autoSpaceDE w:val="0"/>
    </w:pPr>
    <w:rPr>
      <w:rFonts w:eastAsia="SimSu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eastAsia="SimSun"/>
    </w:rPr>
  </w:style>
  <w:style w:type="character" w:customStyle="1" w:styleId="WW8Num1z2">
    <w:name w:val="WW8Num1z2"/>
    <w:rPr>
      <w:rFonts w:ascii="Wingdings" w:hAnsi="Wingdings" w:cs="Tahoma"/>
    </w:rPr>
  </w:style>
  <w:style w:type="character" w:customStyle="1" w:styleId="WW8Num1z3">
    <w:name w:val="WW8Num1z3"/>
    <w:rPr>
      <w:rFonts w:ascii="Symbol" w:hAnsi="Symbol" w:cs="Tahoma"/>
    </w:rPr>
  </w:style>
  <w:style w:type="character" w:customStyle="1" w:styleId="WW8Num2z0">
    <w:name w:val="WW8Num2z0"/>
  </w:style>
  <w:style w:type="character" w:customStyle="1" w:styleId="WW8Num3z0">
    <w:name w:val="WW8Num3z0"/>
    <w:rPr>
      <w:rFonts w:ascii="Times New Roman" w:eastAsia="SimSun" w:hAnsi="Times New Roman" w:cs="Times New Roman"/>
    </w:rPr>
  </w:style>
  <w:style w:type="character" w:customStyle="1" w:styleId="Caratterepredefinitoparagrafo">
    <w:name w:val="Carattere predefinito paragrafo"/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2z1">
    <w:name w:val="WW8Num2z1"/>
    <w:rPr>
      <w:rFonts w:ascii="Symbol" w:hAnsi="Symbol" w:cs="Tahoma"/>
    </w:rPr>
  </w:style>
  <w:style w:type="character" w:customStyle="1" w:styleId="hps">
    <w:name w:val="hps"/>
  </w:style>
  <w:style w:type="character" w:customStyle="1" w:styleId="shorttext">
    <w:name w:val="short_text"/>
  </w:style>
  <w:style w:type="paragraph" w:customStyle="1" w:styleId="Titolo1">
    <w:name w:val="Titolo1"/>
    <w:basedOn w:val="Normale"/>
    <w:next w:val="Corpodeltesto"/>
    <w:pPr>
      <w:keepNext/>
      <w:spacing w:before="240" w:after="120"/>
    </w:pPr>
    <w:rPr>
      <w:rFonts w:ascii="Arial" w:eastAsia="DejaVu Sans" w:hAnsi="Arial" w:cs="Lohit Hindi"/>
      <w:sz w:val="28"/>
      <w:szCs w:val="28"/>
    </w:rPr>
  </w:style>
  <w:style w:type="paragraph" w:styleId="Corpodeltesto">
    <w:name w:val="Body Text"/>
    <w:basedOn w:val="Normale"/>
    <w:pPr>
      <w:spacing w:after="120"/>
    </w:pPr>
  </w:style>
  <w:style w:type="paragraph" w:styleId="Elenco">
    <w:name w:val="List"/>
    <w:basedOn w:val="Corpodeltesto"/>
    <w:rPr>
      <w:rFonts w:ascii="Tahoma" w:hAnsi="Tahoma" w:cs="Tahoma"/>
    </w:rPr>
  </w:style>
  <w:style w:type="paragraph" w:styleId="Didascalia">
    <w:name w:val="caption"/>
    <w:basedOn w:val="Normale"/>
    <w:qFormat/>
    <w:pPr>
      <w:spacing w:before="120" w:after="120"/>
    </w:pPr>
    <w:rPr>
      <w:rFonts w:ascii="Tahoma" w:hAnsi="Tahoma" w:cs="Tahoma"/>
      <w:i/>
      <w:iCs/>
    </w:rPr>
  </w:style>
  <w:style w:type="paragraph" w:customStyle="1" w:styleId="Indice">
    <w:name w:val="Indice"/>
    <w:basedOn w:val="Normale"/>
    <w:pPr>
      <w:suppressLineNumbers/>
    </w:pPr>
    <w:rPr>
      <w:rFonts w:cs="Lohit Hindi"/>
    </w:rPr>
  </w:style>
  <w:style w:type="paragraph" w:customStyle="1" w:styleId="Heading">
    <w:name w:val="Heading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Index">
    <w:name w:val="Index"/>
    <w:basedOn w:val="Normale"/>
    <w:rPr>
      <w:rFonts w:ascii="Tahoma" w:hAnsi="Tahoma" w:cs="Tahom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ale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9E14A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autoSpaceDE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9E14A9"/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Course title:</vt:lpstr>
    </vt:vector>
  </TitlesOfParts>
  <Company/>
  <LinksUpToDate>false</LinksUpToDate>
  <CharactersWithSpaces>1828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Course title:</dc:title>
  <dc:subject/>
  <dc:creator>simona</dc:creator>
  <cp:keywords/>
  <cp:lastModifiedBy>Cristina</cp:lastModifiedBy>
  <cp:revision>3</cp:revision>
  <cp:lastPrinted>2007-01-27T15:44:00Z</cp:lastPrinted>
  <dcterms:created xsi:type="dcterms:W3CDTF">2017-12-13T08:10:00Z</dcterms:created>
  <dcterms:modified xsi:type="dcterms:W3CDTF">2017-12-13T08:11:00Z</dcterms:modified>
</cp:coreProperties>
</file>