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E2ED2" w14:textId="77777777" w:rsidR="00C04FDA" w:rsidRDefault="00C04FDA" w:rsidP="00EE3484">
      <w:pPr>
        <w:spacing w:after="0" w:line="240" w:lineRule="auto"/>
        <w:rPr>
          <w:rFonts w:asciiTheme="minorHAnsi" w:eastAsiaTheme="minorHAnsi" w:hAnsiTheme="minorHAnsi" w:cstheme="minorBidi"/>
          <w:b w:val="0"/>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410"/>
        <w:gridCol w:w="7052"/>
      </w:tblGrid>
      <w:tr w:rsidR="00B31E8B" w:rsidRPr="00DB2030" w14:paraId="5C3F2B99" w14:textId="77777777" w:rsidTr="00016B95">
        <w:tc>
          <w:tcPr>
            <w:tcW w:w="9854" w:type="dxa"/>
            <w:gridSpan w:val="3"/>
          </w:tcPr>
          <w:p w14:paraId="7C080F48" w14:textId="1FACD19D" w:rsidR="00B31E8B" w:rsidRPr="002575EB" w:rsidRDefault="00B31E8B" w:rsidP="002575EB">
            <w:pPr>
              <w:spacing w:before="60" w:after="0" w:line="240" w:lineRule="auto"/>
              <w:jc w:val="center"/>
              <w:rPr>
                <w:rFonts w:asciiTheme="minorHAnsi" w:hAnsiTheme="minorHAnsi" w:cs="Arial"/>
                <w:bCs/>
                <w:szCs w:val="24"/>
              </w:rPr>
            </w:pPr>
            <w:proofErr w:type="spellStart"/>
            <w:r w:rsidRPr="00EE1ED9">
              <w:rPr>
                <w:rFonts w:asciiTheme="minorHAnsi" w:hAnsiTheme="minorHAnsi" w:cs="Arial"/>
                <w:bCs/>
                <w:szCs w:val="24"/>
              </w:rPr>
              <w:t>Programme</w:t>
            </w:r>
            <w:proofErr w:type="spellEnd"/>
            <w:r w:rsidRPr="00EE1ED9">
              <w:rPr>
                <w:rFonts w:asciiTheme="minorHAnsi" w:hAnsiTheme="minorHAnsi" w:cs="Arial"/>
                <w:bCs/>
                <w:szCs w:val="24"/>
              </w:rPr>
              <w:t xml:space="preserve"> of</w:t>
            </w:r>
            <w:r w:rsidR="002575EB">
              <w:rPr>
                <w:rFonts w:asciiTheme="minorHAnsi" w:hAnsiTheme="minorHAnsi" w:cs="Arial"/>
                <w:bCs/>
                <w:szCs w:val="24"/>
              </w:rPr>
              <w:t xml:space="preserve"> </w:t>
            </w:r>
            <w:r w:rsidR="00EE1ED9">
              <w:rPr>
                <w:rFonts w:asciiTheme="minorHAnsi" w:hAnsiTheme="minorHAnsi" w:cs="Arial"/>
                <w:bCs/>
                <w:szCs w:val="24"/>
                <w:lang w:val="en-US"/>
              </w:rPr>
              <w:t>“</w:t>
            </w:r>
            <w:r w:rsidR="00EA1135">
              <w:rPr>
                <w:rFonts w:asciiTheme="minorHAnsi" w:hAnsiTheme="minorHAnsi" w:cs="Arial"/>
                <w:bCs/>
                <w:i/>
                <w:szCs w:val="24"/>
                <w:lang w:val="en-US"/>
              </w:rPr>
              <w:t>INTERNATIONAL ACCOUNTING</w:t>
            </w:r>
            <w:r w:rsidR="00EE1ED9">
              <w:rPr>
                <w:rFonts w:asciiTheme="minorHAnsi" w:hAnsiTheme="minorHAnsi" w:cs="Arial"/>
                <w:bCs/>
                <w:szCs w:val="24"/>
                <w:lang w:val="en-US"/>
              </w:rPr>
              <w:t>”</w:t>
            </w:r>
          </w:p>
        </w:tc>
      </w:tr>
      <w:tr w:rsidR="00B31E8B" w:rsidRPr="00A76CEE" w14:paraId="3D13E246" w14:textId="77777777" w:rsidTr="00016B95">
        <w:tc>
          <w:tcPr>
            <w:tcW w:w="9854" w:type="dxa"/>
            <w:gridSpan w:val="3"/>
          </w:tcPr>
          <w:p w14:paraId="7E7882E4" w14:textId="6872833E" w:rsidR="00B85782" w:rsidRDefault="002575EB" w:rsidP="00B85782">
            <w:pPr>
              <w:spacing w:after="0" w:line="240" w:lineRule="auto"/>
              <w:rPr>
                <w:rFonts w:asciiTheme="minorHAnsi" w:hAnsiTheme="minorHAnsi" w:cs="Arial"/>
                <w:bCs/>
                <w:sz w:val="20"/>
                <w:szCs w:val="20"/>
                <w:lang w:val="en-US"/>
              </w:rPr>
            </w:pPr>
            <w:r>
              <w:rPr>
                <w:rFonts w:asciiTheme="minorHAnsi" w:hAnsiTheme="minorHAnsi" w:cs="Arial"/>
                <w:bCs/>
                <w:sz w:val="20"/>
                <w:szCs w:val="20"/>
                <w:lang w:val="en-US"/>
              </w:rPr>
              <w:t>CODE: M0018</w:t>
            </w:r>
          </w:p>
          <w:p w14:paraId="64536119" w14:textId="508914E5" w:rsidR="002575EB" w:rsidRDefault="002575EB" w:rsidP="002575EB">
            <w:pPr>
              <w:spacing w:after="0" w:line="240" w:lineRule="auto"/>
              <w:rPr>
                <w:rFonts w:asciiTheme="minorHAnsi" w:hAnsiTheme="minorHAnsi" w:cs="Arial"/>
                <w:bCs/>
                <w:color w:val="000000" w:themeColor="text1"/>
                <w:sz w:val="20"/>
                <w:szCs w:val="20"/>
                <w:lang w:val="en-US"/>
              </w:rPr>
            </w:pPr>
            <w:r w:rsidRPr="00250122">
              <w:rPr>
                <w:rFonts w:asciiTheme="minorHAnsi" w:hAnsiTheme="minorHAnsi" w:cs="Arial"/>
                <w:bCs/>
                <w:color w:val="000000" w:themeColor="text1"/>
                <w:sz w:val="20"/>
                <w:szCs w:val="20"/>
                <w:lang w:val="en-US"/>
              </w:rPr>
              <w:t xml:space="preserve">• </w:t>
            </w:r>
            <w:r>
              <w:rPr>
                <w:rFonts w:asciiTheme="minorHAnsi" w:hAnsiTheme="minorHAnsi" w:cs="Arial"/>
                <w:bCs/>
                <w:color w:val="000000" w:themeColor="text1"/>
                <w:sz w:val="20"/>
                <w:szCs w:val="20"/>
                <w:lang w:val="en-US"/>
              </w:rPr>
              <w:t>type of course unit</w:t>
            </w:r>
            <w:r w:rsidRPr="00250122">
              <w:rPr>
                <w:rFonts w:asciiTheme="minorHAnsi" w:hAnsiTheme="minorHAnsi" w:cs="Arial"/>
                <w:bCs/>
                <w:color w:val="000000" w:themeColor="text1"/>
                <w:sz w:val="20"/>
                <w:szCs w:val="20"/>
                <w:lang w:val="en-US"/>
              </w:rPr>
              <w:t>:</w:t>
            </w:r>
            <w:r>
              <w:rPr>
                <w:rFonts w:asciiTheme="minorHAnsi" w:hAnsiTheme="minorHAnsi" w:cs="Arial"/>
                <w:b w:val="0"/>
                <w:bCs/>
                <w:color w:val="000000" w:themeColor="text1"/>
                <w:sz w:val="20"/>
                <w:szCs w:val="20"/>
                <w:lang w:val="en-US"/>
              </w:rPr>
              <w:t xml:space="preserve"> </w:t>
            </w:r>
            <w:r>
              <w:rPr>
                <w:rFonts w:asciiTheme="minorHAnsi" w:hAnsiTheme="minorHAnsi" w:cs="Arial"/>
                <w:bCs/>
                <w:color w:val="000000" w:themeColor="text1"/>
                <w:sz w:val="20"/>
                <w:szCs w:val="20"/>
                <w:lang w:val="en-US"/>
              </w:rPr>
              <w:t>compulsory</w:t>
            </w:r>
          </w:p>
          <w:p w14:paraId="530267FA" w14:textId="6BF2E9EF" w:rsidR="002575EB" w:rsidRPr="002575EB" w:rsidRDefault="002575EB" w:rsidP="002575EB">
            <w:pPr>
              <w:spacing w:after="0" w:line="240" w:lineRule="auto"/>
              <w:rPr>
                <w:rFonts w:asciiTheme="minorHAnsi" w:hAnsiTheme="minorHAnsi" w:cs="Arial"/>
                <w:bCs/>
                <w:color w:val="000000" w:themeColor="text1"/>
                <w:sz w:val="20"/>
                <w:szCs w:val="20"/>
                <w:lang w:val="en-US"/>
              </w:rPr>
            </w:pPr>
            <w:r w:rsidRPr="002575EB">
              <w:rPr>
                <w:rFonts w:asciiTheme="minorHAnsi" w:hAnsiTheme="minorHAnsi" w:cs="Arial"/>
                <w:bCs/>
                <w:color w:val="000000" w:themeColor="text1"/>
                <w:sz w:val="20"/>
                <w:szCs w:val="20"/>
                <w:lang w:val="en-US"/>
              </w:rPr>
              <w:t>• level of course unit</w:t>
            </w:r>
            <w:r>
              <w:rPr>
                <w:rFonts w:asciiTheme="minorHAnsi" w:hAnsiTheme="minorHAnsi" w:cs="Arial"/>
                <w:bCs/>
                <w:color w:val="000000" w:themeColor="text1"/>
                <w:sz w:val="20"/>
                <w:szCs w:val="20"/>
                <w:lang w:val="en-US"/>
              </w:rPr>
              <w:t xml:space="preserve">: </w:t>
            </w:r>
            <w:r w:rsidRPr="00B85782">
              <w:rPr>
                <w:rFonts w:asciiTheme="minorHAnsi" w:hAnsiTheme="minorHAnsi" w:cs="Arial"/>
                <w:bCs/>
                <w:sz w:val="20"/>
                <w:szCs w:val="20"/>
                <w:lang w:val="en-US"/>
              </w:rPr>
              <w:t>2</w:t>
            </w:r>
            <w:r w:rsidRPr="00B85782">
              <w:rPr>
                <w:rFonts w:asciiTheme="minorHAnsi" w:hAnsiTheme="minorHAnsi" w:cs="Arial"/>
                <w:bCs/>
                <w:sz w:val="20"/>
                <w:szCs w:val="20"/>
                <w:vertAlign w:val="superscript"/>
                <w:lang w:val="en-US"/>
              </w:rPr>
              <w:t>nd</w:t>
            </w:r>
            <w:r w:rsidRPr="00B85782">
              <w:rPr>
                <w:rFonts w:asciiTheme="minorHAnsi" w:hAnsiTheme="minorHAnsi" w:cs="Arial"/>
                <w:bCs/>
                <w:sz w:val="20"/>
                <w:szCs w:val="20"/>
                <w:lang w:val="en-US"/>
              </w:rPr>
              <w:t xml:space="preserve"> Cycle Degree in </w:t>
            </w:r>
            <w:r>
              <w:rPr>
                <w:rFonts w:asciiTheme="minorHAnsi" w:hAnsiTheme="minorHAnsi" w:cs="Arial"/>
                <w:bCs/>
                <w:sz w:val="20"/>
                <w:szCs w:val="20"/>
                <w:lang w:val="en-US"/>
              </w:rPr>
              <w:t>ADMINISTRATION, ECONOMY AND FINANCE</w:t>
            </w:r>
          </w:p>
          <w:p w14:paraId="70425DC3" w14:textId="24E5D6F4" w:rsidR="00B31E8B" w:rsidRPr="00EA1135" w:rsidRDefault="002575EB" w:rsidP="00EA1135">
            <w:pPr>
              <w:spacing w:after="0" w:line="240" w:lineRule="auto"/>
              <w:rPr>
                <w:rFonts w:asciiTheme="minorHAnsi" w:hAnsiTheme="minorHAnsi" w:cs="Arial"/>
                <w:bCs/>
                <w:sz w:val="20"/>
                <w:szCs w:val="20"/>
                <w:lang w:val="en-US"/>
              </w:rPr>
            </w:pPr>
            <w:r w:rsidRPr="00250122">
              <w:rPr>
                <w:rFonts w:asciiTheme="minorHAnsi" w:hAnsiTheme="minorHAnsi" w:cs="Arial"/>
                <w:bCs/>
                <w:color w:val="000000" w:themeColor="text1"/>
                <w:sz w:val="20"/>
                <w:szCs w:val="20"/>
                <w:lang w:val="en-US"/>
              </w:rPr>
              <w:t>• year of study</w:t>
            </w:r>
            <w:r>
              <w:rPr>
                <w:rFonts w:asciiTheme="minorHAnsi" w:hAnsiTheme="minorHAnsi" w:cs="Arial"/>
                <w:bCs/>
                <w:color w:val="000000" w:themeColor="text1"/>
                <w:sz w:val="20"/>
                <w:szCs w:val="20"/>
                <w:lang w:val="en-US"/>
              </w:rPr>
              <w:t>: I</w:t>
            </w:r>
            <w:r>
              <w:rPr>
                <w:rFonts w:asciiTheme="minorHAnsi" w:hAnsiTheme="minorHAnsi"/>
                <w:bCs/>
                <w:color w:val="000000" w:themeColor="text1"/>
                <w:sz w:val="20"/>
                <w:szCs w:val="20"/>
                <w:lang w:val="en-US"/>
              </w:rPr>
              <w:t>;</w:t>
            </w:r>
            <w:r w:rsidRPr="00250122">
              <w:rPr>
                <w:rFonts w:asciiTheme="minorHAnsi" w:hAnsiTheme="minorHAnsi"/>
                <w:bCs/>
                <w:color w:val="000000" w:themeColor="text1"/>
                <w:sz w:val="20"/>
                <w:szCs w:val="20"/>
                <w:lang w:val="en-US"/>
              </w:rPr>
              <w:t xml:space="preserve"> </w:t>
            </w:r>
            <w:r w:rsidRPr="00250122">
              <w:rPr>
                <w:rFonts w:asciiTheme="minorHAnsi" w:hAnsiTheme="minorHAnsi" w:cs="Arial"/>
                <w:bCs/>
                <w:color w:val="000000" w:themeColor="text1"/>
                <w:sz w:val="20"/>
                <w:szCs w:val="20"/>
                <w:lang w:val="en-US"/>
              </w:rPr>
              <w:t>semester:</w:t>
            </w:r>
            <w:r>
              <w:rPr>
                <w:rFonts w:asciiTheme="minorHAnsi" w:hAnsiTheme="minorHAnsi" w:cs="Arial"/>
                <w:bCs/>
                <w:color w:val="000000" w:themeColor="text1"/>
                <w:sz w:val="20"/>
                <w:szCs w:val="20"/>
                <w:lang w:val="en-US"/>
              </w:rPr>
              <w:t xml:space="preserve"> II.</w:t>
            </w:r>
          </w:p>
        </w:tc>
      </w:tr>
      <w:tr w:rsidR="00B31E8B" w:rsidRPr="00A76CEE" w14:paraId="28A4C4BE" w14:textId="77777777" w:rsidTr="002575EB">
        <w:trPr>
          <w:trHeight w:val="278"/>
        </w:trPr>
        <w:tc>
          <w:tcPr>
            <w:tcW w:w="9854" w:type="dxa"/>
            <w:gridSpan w:val="3"/>
          </w:tcPr>
          <w:p w14:paraId="3EDC6894" w14:textId="77777777" w:rsidR="00B31E8B" w:rsidRPr="00B85782" w:rsidRDefault="00B31E8B" w:rsidP="002575EB">
            <w:pPr>
              <w:spacing w:after="0" w:line="240" w:lineRule="auto"/>
              <w:rPr>
                <w:rFonts w:asciiTheme="minorHAnsi" w:hAnsiTheme="minorHAnsi" w:cs="Calibri"/>
                <w:bCs/>
                <w:sz w:val="20"/>
                <w:szCs w:val="20"/>
                <w:lang w:val="en-US"/>
              </w:rPr>
            </w:pPr>
            <w:r w:rsidRPr="00B85782">
              <w:rPr>
                <w:rFonts w:asciiTheme="minorHAnsi" w:hAnsiTheme="minorHAnsi" w:cs="Arial"/>
                <w:bCs/>
                <w:sz w:val="20"/>
                <w:szCs w:val="20"/>
                <w:lang w:val="en-US"/>
              </w:rPr>
              <w:t xml:space="preserve">Number of ECTS credits: </w:t>
            </w:r>
            <w:r w:rsidR="00EA1135">
              <w:rPr>
                <w:rFonts w:asciiTheme="minorHAnsi" w:hAnsiTheme="minorHAnsi" w:cs="Arial"/>
                <w:bCs/>
                <w:sz w:val="20"/>
                <w:szCs w:val="20"/>
                <w:lang w:val="en-US"/>
              </w:rPr>
              <w:t>9</w:t>
            </w:r>
            <w:r w:rsidRPr="00B85782">
              <w:rPr>
                <w:rFonts w:asciiTheme="minorHAnsi" w:hAnsiTheme="minorHAnsi" w:cs="Arial"/>
                <w:bCs/>
                <w:sz w:val="20"/>
                <w:szCs w:val="20"/>
                <w:lang w:val="en-US"/>
              </w:rPr>
              <w:t xml:space="preserve"> (workload is </w:t>
            </w:r>
            <w:r w:rsidR="00EA1135">
              <w:rPr>
                <w:rFonts w:asciiTheme="minorHAnsi" w:hAnsiTheme="minorHAnsi" w:cs="Arial"/>
                <w:bCs/>
                <w:sz w:val="20"/>
                <w:szCs w:val="20"/>
                <w:lang w:val="en-US"/>
              </w:rPr>
              <w:t>225</w:t>
            </w:r>
            <w:r w:rsidRPr="00B85782">
              <w:rPr>
                <w:rFonts w:asciiTheme="minorHAnsi" w:hAnsiTheme="minorHAnsi" w:cs="Arial"/>
                <w:bCs/>
                <w:sz w:val="20"/>
                <w:szCs w:val="20"/>
                <w:lang w:val="en-US"/>
              </w:rPr>
              <w:t xml:space="preserve"> hours; 1 </w:t>
            </w:r>
            <w:proofErr w:type="gramStart"/>
            <w:r w:rsidRPr="00B85782">
              <w:rPr>
                <w:rFonts w:asciiTheme="minorHAnsi" w:hAnsiTheme="minorHAnsi" w:cs="Arial"/>
                <w:bCs/>
                <w:sz w:val="20"/>
                <w:szCs w:val="20"/>
                <w:lang w:val="en-US"/>
              </w:rPr>
              <w:t>credit  =</w:t>
            </w:r>
            <w:proofErr w:type="gramEnd"/>
            <w:r w:rsidRPr="00B85782">
              <w:rPr>
                <w:rFonts w:asciiTheme="minorHAnsi" w:hAnsiTheme="minorHAnsi" w:cs="Arial"/>
                <w:bCs/>
                <w:sz w:val="20"/>
                <w:szCs w:val="20"/>
                <w:lang w:val="en-US"/>
              </w:rPr>
              <w:t xml:space="preserve"> 25 hours)</w:t>
            </w:r>
          </w:p>
        </w:tc>
      </w:tr>
      <w:tr w:rsidR="00B31E8B" w:rsidRPr="00BE3C30" w14:paraId="6244026D" w14:textId="77777777" w:rsidTr="00016B95">
        <w:tc>
          <w:tcPr>
            <w:tcW w:w="9854" w:type="dxa"/>
            <w:gridSpan w:val="3"/>
          </w:tcPr>
          <w:p w14:paraId="541C71BB" w14:textId="77777777" w:rsidR="00B31E8B" w:rsidRPr="002575EB" w:rsidRDefault="00B31E8B" w:rsidP="00EA1135">
            <w:pPr>
              <w:spacing w:after="0" w:line="240" w:lineRule="auto"/>
              <w:rPr>
                <w:rFonts w:asciiTheme="minorHAnsi" w:hAnsiTheme="minorHAnsi"/>
                <w:bCs/>
                <w:sz w:val="20"/>
                <w:szCs w:val="20"/>
              </w:rPr>
            </w:pPr>
            <w:proofErr w:type="spellStart"/>
            <w:proofErr w:type="gramStart"/>
            <w:r w:rsidRPr="002575EB">
              <w:rPr>
                <w:rFonts w:asciiTheme="minorHAnsi" w:hAnsiTheme="minorHAnsi" w:cs="Arial"/>
                <w:bCs/>
                <w:sz w:val="20"/>
                <w:szCs w:val="20"/>
              </w:rPr>
              <w:t>Teacher</w:t>
            </w:r>
            <w:proofErr w:type="spellEnd"/>
            <w:r w:rsidRPr="002575EB">
              <w:rPr>
                <w:rFonts w:asciiTheme="minorHAnsi" w:hAnsiTheme="minorHAnsi" w:cs="Arial"/>
                <w:bCs/>
                <w:sz w:val="20"/>
                <w:szCs w:val="20"/>
              </w:rPr>
              <w:t xml:space="preserve"> :</w:t>
            </w:r>
            <w:proofErr w:type="gramEnd"/>
            <w:r w:rsidRPr="002575EB">
              <w:rPr>
                <w:rFonts w:asciiTheme="minorHAnsi" w:hAnsiTheme="minorHAnsi" w:cs="Arial"/>
                <w:bCs/>
                <w:sz w:val="20"/>
                <w:szCs w:val="20"/>
              </w:rPr>
              <w:t xml:space="preserve"> </w:t>
            </w:r>
            <w:r w:rsidR="00EA1135" w:rsidRPr="002575EB">
              <w:rPr>
                <w:rFonts w:asciiTheme="minorHAnsi" w:hAnsiTheme="minorHAnsi" w:cs="Arial"/>
                <w:bCs/>
                <w:sz w:val="20"/>
                <w:szCs w:val="20"/>
              </w:rPr>
              <w:t>Michele PISANI</w:t>
            </w:r>
            <w:r w:rsidRPr="002575EB">
              <w:rPr>
                <w:rFonts w:asciiTheme="minorHAnsi" w:hAnsiTheme="minorHAnsi" w:cs="Arial"/>
                <w:bCs/>
                <w:sz w:val="20"/>
                <w:szCs w:val="20"/>
              </w:rPr>
              <w:t xml:space="preserve">  </w:t>
            </w:r>
          </w:p>
        </w:tc>
      </w:tr>
      <w:tr w:rsidR="00B31E8B" w:rsidRPr="00A76CEE" w14:paraId="28251846" w14:textId="77777777" w:rsidTr="00016B95">
        <w:trPr>
          <w:trHeight w:val="648"/>
        </w:trPr>
        <w:tc>
          <w:tcPr>
            <w:tcW w:w="392" w:type="dxa"/>
            <w:vAlign w:val="center"/>
          </w:tcPr>
          <w:p w14:paraId="661DF439" w14:textId="77777777" w:rsidR="00B31E8B" w:rsidRPr="00BE3C30" w:rsidRDefault="00B31E8B" w:rsidP="00016B95">
            <w:pPr>
              <w:rPr>
                <w:rFonts w:cs="Calibri"/>
                <w:b w:val="0"/>
                <w:bCs/>
                <w:smallCaps/>
                <w:sz w:val="20"/>
                <w:szCs w:val="20"/>
                <w:lang w:val="en-US"/>
              </w:rPr>
            </w:pPr>
            <w:r w:rsidRPr="00BE3C30">
              <w:rPr>
                <w:rFonts w:cs="Calibri"/>
                <w:b w:val="0"/>
                <w:bCs/>
                <w:smallCaps/>
                <w:sz w:val="20"/>
                <w:szCs w:val="20"/>
                <w:lang w:val="en-US"/>
              </w:rPr>
              <w:t>1</w:t>
            </w:r>
          </w:p>
        </w:tc>
        <w:tc>
          <w:tcPr>
            <w:tcW w:w="2410" w:type="dxa"/>
            <w:vAlign w:val="center"/>
          </w:tcPr>
          <w:p w14:paraId="262F2CBD" w14:textId="77777777" w:rsidR="00B31E8B" w:rsidRPr="002575EB" w:rsidRDefault="00B31E8B" w:rsidP="00016B95">
            <w:pPr>
              <w:spacing w:after="0" w:line="240" w:lineRule="auto"/>
              <w:rPr>
                <w:rFonts w:cs="Calibri"/>
                <w:sz w:val="20"/>
                <w:szCs w:val="20"/>
                <w:lang w:val="en-US"/>
              </w:rPr>
            </w:pPr>
            <w:r w:rsidRPr="002575EB">
              <w:rPr>
                <w:rFonts w:cs="Calibri"/>
                <w:sz w:val="20"/>
                <w:szCs w:val="20"/>
                <w:lang w:val="en-US"/>
              </w:rPr>
              <w:t xml:space="preserve">Course objectives </w:t>
            </w:r>
          </w:p>
          <w:p w14:paraId="7AD41610" w14:textId="77777777" w:rsidR="00B31E8B" w:rsidRPr="00BE3C30" w:rsidRDefault="00B31E8B" w:rsidP="00016B95">
            <w:pPr>
              <w:spacing w:after="0" w:line="240" w:lineRule="auto"/>
              <w:rPr>
                <w:rFonts w:cs="Calibri"/>
                <w:b w:val="0"/>
                <w:bCs/>
                <w:i/>
                <w:iCs/>
                <w:smallCaps/>
                <w:sz w:val="20"/>
                <w:szCs w:val="20"/>
                <w:lang w:val="en-US"/>
              </w:rPr>
            </w:pPr>
          </w:p>
        </w:tc>
        <w:tc>
          <w:tcPr>
            <w:tcW w:w="7052" w:type="dxa"/>
          </w:tcPr>
          <w:p w14:paraId="355F67FD" w14:textId="77777777" w:rsidR="00E80D88" w:rsidRPr="003657E8" w:rsidRDefault="00EA1135" w:rsidP="00EE3484">
            <w:pPr>
              <w:spacing w:after="0" w:line="240" w:lineRule="auto"/>
              <w:jc w:val="both"/>
              <w:rPr>
                <w:rFonts w:cs="Arial"/>
                <w:b w:val="0"/>
                <w:bCs/>
                <w:sz w:val="20"/>
                <w:szCs w:val="20"/>
                <w:lang w:val="en-US"/>
              </w:rPr>
            </w:pPr>
            <w:r w:rsidRPr="00EA1135">
              <w:rPr>
                <w:rFonts w:cs="Arial"/>
                <w:b w:val="0"/>
                <w:bCs/>
                <w:sz w:val="20"/>
                <w:szCs w:val="20"/>
                <w:lang w:val="en-US"/>
              </w:rPr>
              <w:t xml:space="preserve">The course major educational objective is to </w:t>
            </w:r>
            <w:r w:rsidR="00D276D9">
              <w:rPr>
                <w:rFonts w:cs="Arial"/>
                <w:b w:val="0"/>
                <w:bCs/>
                <w:sz w:val="20"/>
                <w:szCs w:val="20"/>
                <w:lang w:val="en-US"/>
              </w:rPr>
              <w:t>provide the</w:t>
            </w:r>
            <w:r w:rsidR="00E80D88">
              <w:rPr>
                <w:rFonts w:cs="Arial"/>
                <w:b w:val="0"/>
                <w:bCs/>
                <w:sz w:val="20"/>
                <w:szCs w:val="20"/>
                <w:lang w:val="en-US"/>
              </w:rPr>
              <w:t xml:space="preserve"> students </w:t>
            </w:r>
            <w:r w:rsidR="00D276D9">
              <w:rPr>
                <w:rFonts w:cs="Arial"/>
                <w:b w:val="0"/>
                <w:bCs/>
                <w:sz w:val="20"/>
                <w:szCs w:val="20"/>
                <w:lang w:val="en-US"/>
              </w:rPr>
              <w:t xml:space="preserve">with the knowledge and understanding of </w:t>
            </w:r>
            <w:r w:rsidRPr="00EA1135">
              <w:rPr>
                <w:rFonts w:cs="Arial"/>
                <w:b w:val="0"/>
                <w:bCs/>
                <w:sz w:val="20"/>
                <w:szCs w:val="20"/>
                <w:lang w:val="en-US"/>
              </w:rPr>
              <w:t>International Financial Reporting St</w:t>
            </w:r>
            <w:r w:rsidR="00D276D9">
              <w:rPr>
                <w:rFonts w:cs="Arial"/>
                <w:b w:val="0"/>
                <w:bCs/>
                <w:sz w:val="20"/>
                <w:szCs w:val="20"/>
                <w:lang w:val="en-US"/>
              </w:rPr>
              <w:t xml:space="preserve">andards and the </w:t>
            </w:r>
            <w:r w:rsidRPr="00EA1135">
              <w:rPr>
                <w:rFonts w:cs="Arial"/>
                <w:b w:val="0"/>
                <w:bCs/>
                <w:sz w:val="20"/>
                <w:szCs w:val="20"/>
                <w:lang w:val="en-US"/>
              </w:rPr>
              <w:t xml:space="preserve">impacts </w:t>
            </w:r>
            <w:r w:rsidR="00D276D9">
              <w:rPr>
                <w:rFonts w:cs="Arial"/>
                <w:b w:val="0"/>
                <w:bCs/>
                <w:sz w:val="20"/>
                <w:szCs w:val="20"/>
                <w:lang w:val="en-US"/>
              </w:rPr>
              <w:t xml:space="preserve">of </w:t>
            </w:r>
            <w:r w:rsidR="00D276D9" w:rsidRPr="00EA1135">
              <w:rPr>
                <w:rFonts w:cs="Arial"/>
                <w:b w:val="0"/>
                <w:bCs/>
                <w:sz w:val="20"/>
                <w:szCs w:val="20"/>
                <w:lang w:val="en-US"/>
              </w:rPr>
              <w:t>the</w:t>
            </w:r>
            <w:r w:rsidR="00D276D9">
              <w:rPr>
                <w:rFonts w:cs="Arial"/>
                <w:b w:val="0"/>
                <w:bCs/>
                <w:sz w:val="20"/>
                <w:szCs w:val="20"/>
                <w:lang w:val="en-US"/>
              </w:rPr>
              <w:t>ir</w:t>
            </w:r>
            <w:r w:rsidR="00D276D9" w:rsidRPr="00EA1135">
              <w:rPr>
                <w:rFonts w:cs="Arial"/>
                <w:b w:val="0"/>
                <w:bCs/>
                <w:sz w:val="20"/>
                <w:szCs w:val="20"/>
                <w:lang w:val="en-US"/>
              </w:rPr>
              <w:t xml:space="preserve"> adoption and use </w:t>
            </w:r>
            <w:r w:rsidRPr="00EA1135">
              <w:rPr>
                <w:rFonts w:cs="Arial"/>
                <w:b w:val="0"/>
                <w:bCs/>
                <w:sz w:val="20"/>
                <w:szCs w:val="20"/>
                <w:lang w:val="en-US"/>
              </w:rPr>
              <w:t xml:space="preserve">on financial reporting, also in comparison with the corresponding Italian standards. </w:t>
            </w:r>
            <w:proofErr w:type="gramStart"/>
            <w:r w:rsidRPr="00EA1135">
              <w:rPr>
                <w:rFonts w:cs="Arial"/>
                <w:b w:val="0"/>
                <w:bCs/>
                <w:sz w:val="20"/>
                <w:szCs w:val="20"/>
                <w:lang w:val="en-US"/>
              </w:rPr>
              <w:t>P</w:t>
            </w:r>
            <w:r w:rsidR="00D276D9">
              <w:rPr>
                <w:rFonts w:cs="Arial"/>
                <w:b w:val="0"/>
                <w:bCs/>
                <w:sz w:val="20"/>
                <w:szCs w:val="20"/>
                <w:lang w:val="en-US"/>
              </w:rPr>
              <w:t>articular relevance</w:t>
            </w:r>
            <w:proofErr w:type="gramEnd"/>
            <w:r w:rsidR="00D276D9">
              <w:rPr>
                <w:rFonts w:cs="Arial"/>
                <w:b w:val="0"/>
                <w:bCs/>
                <w:sz w:val="20"/>
                <w:szCs w:val="20"/>
                <w:lang w:val="en-US"/>
              </w:rPr>
              <w:t xml:space="preserve"> is given to the</w:t>
            </w:r>
            <w:r w:rsidR="00D276D9" w:rsidRPr="00EA1135">
              <w:rPr>
                <w:rFonts w:cs="Arial"/>
                <w:b w:val="0"/>
                <w:bCs/>
                <w:sz w:val="20"/>
                <w:szCs w:val="20"/>
                <w:lang w:val="en-US"/>
              </w:rPr>
              <w:t xml:space="preserve"> </w:t>
            </w:r>
            <w:r w:rsidRPr="00EA1135">
              <w:rPr>
                <w:rFonts w:cs="Arial"/>
                <w:b w:val="0"/>
                <w:bCs/>
                <w:sz w:val="20"/>
                <w:szCs w:val="20"/>
                <w:lang w:val="en-US"/>
              </w:rPr>
              <w:t>content analysis of the standards which are used by the generality of companies, showing differences towards Italia</w:t>
            </w:r>
            <w:r w:rsidR="00D276D9">
              <w:rPr>
                <w:rFonts w:cs="Arial"/>
                <w:b w:val="0"/>
                <w:bCs/>
                <w:sz w:val="20"/>
                <w:szCs w:val="20"/>
                <w:lang w:val="en-US"/>
              </w:rPr>
              <w:t>n accounting standards in force. C</w:t>
            </w:r>
            <w:r w:rsidRPr="00EA1135">
              <w:rPr>
                <w:rFonts w:cs="Arial"/>
                <w:b w:val="0"/>
                <w:bCs/>
                <w:sz w:val="20"/>
                <w:szCs w:val="20"/>
                <w:lang w:val="en-US"/>
              </w:rPr>
              <w:t>ase studies related to companies who take IASB,</w:t>
            </w:r>
            <w:r w:rsidR="00D276D9">
              <w:rPr>
                <w:rFonts w:cs="Arial"/>
                <w:b w:val="0"/>
                <w:bCs/>
                <w:sz w:val="20"/>
                <w:szCs w:val="20"/>
                <w:lang w:val="en-US"/>
              </w:rPr>
              <w:t xml:space="preserve"> will be presented and discussed </w:t>
            </w:r>
            <w:proofErr w:type="gramStart"/>
            <w:r w:rsidR="00D276D9">
              <w:rPr>
                <w:rFonts w:cs="Arial"/>
                <w:b w:val="0"/>
                <w:bCs/>
                <w:sz w:val="20"/>
                <w:szCs w:val="20"/>
                <w:lang w:val="en-US"/>
              </w:rPr>
              <w:t>in order</w:t>
            </w:r>
            <w:r w:rsidRPr="00EA1135">
              <w:rPr>
                <w:rFonts w:cs="Arial"/>
                <w:b w:val="0"/>
                <w:bCs/>
                <w:sz w:val="20"/>
                <w:szCs w:val="20"/>
                <w:lang w:val="en-US"/>
              </w:rPr>
              <w:t xml:space="preserve"> to</w:t>
            </w:r>
            <w:proofErr w:type="gramEnd"/>
            <w:r w:rsidRPr="00EA1135">
              <w:rPr>
                <w:rFonts w:cs="Arial"/>
                <w:b w:val="0"/>
                <w:bCs/>
                <w:sz w:val="20"/>
                <w:szCs w:val="20"/>
                <w:lang w:val="en-US"/>
              </w:rPr>
              <w:t xml:space="preserve"> examine the effects that IFRS have on quality, extent and variability of financial performance measures.</w:t>
            </w:r>
          </w:p>
        </w:tc>
      </w:tr>
      <w:tr w:rsidR="00B31E8B" w:rsidRPr="00A76CEE" w14:paraId="5D401DCF" w14:textId="77777777" w:rsidTr="00016B95">
        <w:tc>
          <w:tcPr>
            <w:tcW w:w="392" w:type="dxa"/>
            <w:vAlign w:val="center"/>
          </w:tcPr>
          <w:p w14:paraId="3220F439" w14:textId="77777777" w:rsidR="00B31E8B" w:rsidRPr="00BE3C30" w:rsidRDefault="00B31E8B" w:rsidP="00016B95">
            <w:pPr>
              <w:rPr>
                <w:rFonts w:cs="Calibri"/>
                <w:b w:val="0"/>
                <w:bCs/>
                <w:smallCaps/>
                <w:sz w:val="20"/>
                <w:szCs w:val="20"/>
              </w:rPr>
            </w:pPr>
            <w:r w:rsidRPr="00BE3C30">
              <w:rPr>
                <w:rFonts w:cs="Calibri"/>
                <w:b w:val="0"/>
                <w:bCs/>
                <w:smallCaps/>
                <w:sz w:val="20"/>
                <w:szCs w:val="20"/>
              </w:rPr>
              <w:t>2</w:t>
            </w:r>
          </w:p>
        </w:tc>
        <w:tc>
          <w:tcPr>
            <w:tcW w:w="2410" w:type="dxa"/>
            <w:vAlign w:val="center"/>
          </w:tcPr>
          <w:p w14:paraId="3545EA6D" w14:textId="77777777" w:rsidR="00B31E8B" w:rsidRPr="00BE3C30" w:rsidRDefault="00B31E8B" w:rsidP="00016B95">
            <w:pPr>
              <w:spacing w:after="0" w:line="240" w:lineRule="auto"/>
              <w:rPr>
                <w:rFonts w:cs="Calibri"/>
                <w:bCs/>
                <w:smallCaps/>
                <w:sz w:val="20"/>
                <w:szCs w:val="20"/>
                <w:lang w:val="en-US"/>
              </w:rPr>
            </w:pPr>
            <w:r w:rsidRPr="00BE3C30">
              <w:rPr>
                <w:rFonts w:cs="Calibri"/>
                <w:b w:val="0"/>
                <w:sz w:val="20"/>
                <w:szCs w:val="20"/>
                <w:lang w:val="en-US"/>
              </w:rPr>
              <w:t>Course content and Learning outcomes (Dublin descriptors)</w:t>
            </w:r>
          </w:p>
        </w:tc>
        <w:tc>
          <w:tcPr>
            <w:tcW w:w="7052" w:type="dxa"/>
          </w:tcPr>
          <w:p w14:paraId="563F2885" w14:textId="77777777" w:rsidR="00F97466" w:rsidRPr="00F97466" w:rsidRDefault="00F97466" w:rsidP="00F97466">
            <w:pPr>
              <w:spacing w:after="0" w:line="240" w:lineRule="auto"/>
              <w:ind w:left="33" w:hanging="33"/>
              <w:rPr>
                <w:rFonts w:cs="Calibri"/>
                <w:sz w:val="20"/>
                <w:szCs w:val="20"/>
                <w:lang w:val="en-US"/>
              </w:rPr>
            </w:pPr>
            <w:r w:rsidRPr="00F97466">
              <w:rPr>
                <w:rFonts w:cs="Calibri"/>
                <w:sz w:val="20"/>
                <w:szCs w:val="20"/>
                <w:lang w:val="en-US"/>
              </w:rPr>
              <w:t>The course addresses the following issues:</w:t>
            </w:r>
          </w:p>
          <w:p w14:paraId="500256C0" w14:textId="77777777" w:rsidR="00F97466" w:rsidRPr="00F97466" w:rsidRDefault="00F97466" w:rsidP="009E2A1B">
            <w:pPr>
              <w:pStyle w:val="Paragrafoelenco"/>
              <w:numPr>
                <w:ilvl w:val="0"/>
                <w:numId w:val="1"/>
              </w:numPr>
              <w:spacing w:line="240" w:lineRule="auto"/>
              <w:rPr>
                <w:rFonts w:cs="Calibri"/>
                <w:b w:val="0"/>
                <w:sz w:val="20"/>
                <w:szCs w:val="20"/>
                <w:lang w:val="en-US"/>
              </w:rPr>
            </w:pPr>
            <w:r w:rsidRPr="00F97466">
              <w:rPr>
                <w:rFonts w:cs="Calibri"/>
                <w:b w:val="0"/>
                <w:sz w:val="20"/>
                <w:szCs w:val="20"/>
                <w:lang w:val="en-US"/>
              </w:rPr>
              <w:t>the contents of IAS-IFRS related to the most recurring and material items:</w:t>
            </w:r>
          </w:p>
          <w:p w14:paraId="04C6D4D4" w14:textId="77777777" w:rsidR="00F97466" w:rsidRPr="00F97466" w:rsidRDefault="00F97466" w:rsidP="009E2A1B">
            <w:pPr>
              <w:pStyle w:val="Paragrafoelenco"/>
              <w:numPr>
                <w:ilvl w:val="0"/>
                <w:numId w:val="4"/>
              </w:numPr>
              <w:spacing w:line="240" w:lineRule="auto"/>
              <w:rPr>
                <w:rFonts w:cs="Calibri"/>
                <w:b w:val="0"/>
                <w:sz w:val="20"/>
                <w:szCs w:val="20"/>
                <w:lang w:val="en-US"/>
              </w:rPr>
            </w:pPr>
            <w:r w:rsidRPr="00F97466">
              <w:rPr>
                <w:rFonts w:cs="Calibri"/>
                <w:b w:val="0"/>
                <w:sz w:val="20"/>
                <w:szCs w:val="20"/>
                <w:lang w:val="en-US"/>
              </w:rPr>
              <w:t>the Conceptual Framework</w:t>
            </w:r>
          </w:p>
          <w:p w14:paraId="5ADF6AA8" w14:textId="77777777" w:rsidR="00F97466" w:rsidRPr="00F97466" w:rsidRDefault="00F97466" w:rsidP="009E2A1B">
            <w:pPr>
              <w:pStyle w:val="Paragrafoelenco"/>
              <w:numPr>
                <w:ilvl w:val="0"/>
                <w:numId w:val="4"/>
              </w:numPr>
              <w:spacing w:line="240" w:lineRule="auto"/>
              <w:rPr>
                <w:rFonts w:cs="Calibri"/>
                <w:b w:val="0"/>
                <w:sz w:val="20"/>
                <w:szCs w:val="20"/>
                <w:lang w:val="en-US"/>
              </w:rPr>
            </w:pPr>
            <w:r w:rsidRPr="00F97466">
              <w:rPr>
                <w:rFonts w:cs="Calibri"/>
                <w:b w:val="0"/>
                <w:sz w:val="20"/>
                <w:szCs w:val="20"/>
                <w:lang w:val="en-US"/>
              </w:rPr>
              <w:t>the set of financial statements</w:t>
            </w:r>
          </w:p>
          <w:p w14:paraId="480B9E3A" w14:textId="77777777" w:rsidR="00F97466" w:rsidRPr="00F97466" w:rsidRDefault="00F97466" w:rsidP="009E2A1B">
            <w:pPr>
              <w:pStyle w:val="Paragrafoelenco"/>
              <w:numPr>
                <w:ilvl w:val="0"/>
                <w:numId w:val="4"/>
              </w:numPr>
              <w:spacing w:line="240" w:lineRule="auto"/>
              <w:rPr>
                <w:rFonts w:cs="Calibri"/>
                <w:b w:val="0"/>
                <w:sz w:val="20"/>
                <w:szCs w:val="20"/>
                <w:lang w:val="en-US"/>
              </w:rPr>
            </w:pPr>
            <w:r w:rsidRPr="00F97466">
              <w:rPr>
                <w:rFonts w:cs="Calibri"/>
                <w:b w:val="0"/>
                <w:sz w:val="20"/>
                <w:szCs w:val="20"/>
                <w:lang w:val="en-US"/>
              </w:rPr>
              <w:t xml:space="preserve">the accounting principles related to: financial instruments; taxes; leasing; tangible assets, intangible assets, impairment; provisions, contingent assets and liabilities; </w:t>
            </w:r>
          </w:p>
          <w:p w14:paraId="00C1DFD4" w14:textId="77777777" w:rsidR="00B31E8B" w:rsidRPr="0001491D" w:rsidRDefault="00F97466" w:rsidP="009E2A1B">
            <w:pPr>
              <w:pStyle w:val="Paragrafoelenco"/>
              <w:numPr>
                <w:ilvl w:val="0"/>
                <w:numId w:val="1"/>
              </w:numPr>
              <w:spacing w:line="240" w:lineRule="auto"/>
              <w:rPr>
                <w:rFonts w:cs="Calibri"/>
                <w:b w:val="0"/>
                <w:sz w:val="20"/>
                <w:szCs w:val="20"/>
                <w:lang w:val="en-US"/>
              </w:rPr>
            </w:pPr>
            <w:r w:rsidRPr="00F97466">
              <w:rPr>
                <w:rFonts w:cs="Calibri"/>
                <w:b w:val="0"/>
                <w:sz w:val="20"/>
                <w:szCs w:val="20"/>
                <w:lang w:val="en-US"/>
              </w:rPr>
              <w:t xml:space="preserve">the most relevant effects on income statement and balance sheet related to the IAS-IFRS adoption, the impacts on financial reporting and the main interpretative issues about the internal and external users' perspective: analysis and discussion of case studies related to national and foreign companies adopting IASB standards. </w:t>
            </w:r>
          </w:p>
          <w:p w14:paraId="28B489CE" w14:textId="77777777" w:rsidR="00B31E8B" w:rsidRPr="00EE3484" w:rsidRDefault="00B31E8B" w:rsidP="001456A5">
            <w:pPr>
              <w:spacing w:after="0" w:line="240" w:lineRule="auto"/>
              <w:ind w:left="33" w:hanging="33"/>
              <w:rPr>
                <w:rFonts w:cs="Calibri"/>
                <w:b w:val="0"/>
                <w:sz w:val="20"/>
                <w:szCs w:val="20"/>
                <w:lang w:val="en-US"/>
              </w:rPr>
            </w:pPr>
            <w:r w:rsidRPr="00AB6428">
              <w:rPr>
                <w:rFonts w:cs="Calibri"/>
                <w:color w:val="0000CC"/>
                <w:sz w:val="20"/>
                <w:szCs w:val="20"/>
                <w:lang w:val="en-GB"/>
              </w:rPr>
              <w:t xml:space="preserve"> </w:t>
            </w:r>
            <w:r w:rsidRPr="00EE3484">
              <w:rPr>
                <w:rFonts w:cs="Calibri"/>
                <w:b w:val="0"/>
                <w:sz w:val="20"/>
                <w:szCs w:val="20"/>
                <w:lang w:val="en-US"/>
              </w:rPr>
              <w:t>On successful completion of this module, the student should:</w:t>
            </w:r>
          </w:p>
          <w:p w14:paraId="311769BF" w14:textId="77777777" w:rsidR="003657E8" w:rsidRPr="00EE3484" w:rsidRDefault="003657E8" w:rsidP="009E2A1B">
            <w:pPr>
              <w:pStyle w:val="Paragrafoelenco"/>
              <w:numPr>
                <w:ilvl w:val="0"/>
                <w:numId w:val="2"/>
              </w:numPr>
              <w:spacing w:after="0" w:line="240" w:lineRule="auto"/>
              <w:rPr>
                <w:rFonts w:cs="Calibri"/>
                <w:b w:val="0"/>
                <w:sz w:val="20"/>
                <w:szCs w:val="20"/>
                <w:lang w:val="en-US"/>
              </w:rPr>
            </w:pPr>
            <w:r w:rsidRPr="00EE3484">
              <w:rPr>
                <w:rFonts w:cs="Calibri"/>
                <w:b w:val="0"/>
                <w:sz w:val="20"/>
                <w:szCs w:val="20"/>
                <w:lang w:val="en-US"/>
              </w:rPr>
              <w:t xml:space="preserve">develop an </w:t>
            </w:r>
            <w:r w:rsidRPr="00EE3484">
              <w:rPr>
                <w:rFonts w:cs="Calibri"/>
                <w:sz w:val="20"/>
                <w:szCs w:val="20"/>
                <w:lang w:val="en-US"/>
              </w:rPr>
              <w:t>understanding</w:t>
            </w:r>
            <w:r w:rsidRPr="00EE3484">
              <w:rPr>
                <w:rFonts w:cs="Calibri"/>
                <w:b w:val="0"/>
                <w:sz w:val="20"/>
                <w:szCs w:val="20"/>
                <w:lang w:val="en-US"/>
              </w:rPr>
              <w:t xml:space="preserve"> of historical, cultural and institutional factors affecting the accounting systems of different countries;</w:t>
            </w:r>
          </w:p>
          <w:p w14:paraId="6A40956B" w14:textId="77777777" w:rsidR="003657E8" w:rsidRPr="00EE3484" w:rsidRDefault="003657E8" w:rsidP="009E2A1B">
            <w:pPr>
              <w:pStyle w:val="Paragrafoelenco"/>
              <w:numPr>
                <w:ilvl w:val="0"/>
                <w:numId w:val="2"/>
              </w:numPr>
              <w:spacing w:after="0" w:line="240" w:lineRule="auto"/>
              <w:rPr>
                <w:rFonts w:cs="Calibri"/>
                <w:b w:val="0"/>
                <w:sz w:val="20"/>
                <w:szCs w:val="20"/>
                <w:lang w:val="en-US"/>
              </w:rPr>
            </w:pPr>
            <w:r w:rsidRPr="00EE3484">
              <w:rPr>
                <w:rFonts w:cs="Calibri"/>
                <w:sz w:val="20"/>
                <w:szCs w:val="20"/>
                <w:lang w:val="en-US"/>
              </w:rPr>
              <w:t>know and understand</w:t>
            </w:r>
            <w:r w:rsidRPr="00EE3484">
              <w:rPr>
                <w:rFonts w:cs="Calibri"/>
                <w:b w:val="0"/>
                <w:sz w:val="20"/>
                <w:szCs w:val="20"/>
                <w:lang w:val="en-US"/>
              </w:rPr>
              <w:t xml:space="preserve"> </w:t>
            </w:r>
            <w:r w:rsidR="00AB6428" w:rsidRPr="00EE3484">
              <w:rPr>
                <w:rFonts w:cs="Calibri"/>
                <w:b w:val="0"/>
                <w:sz w:val="20"/>
                <w:szCs w:val="20"/>
                <w:lang w:val="en-US"/>
              </w:rPr>
              <w:t>s</w:t>
            </w:r>
            <w:r w:rsidR="00E80D88" w:rsidRPr="00EE3484">
              <w:rPr>
                <w:rFonts w:cs="Calibri"/>
                <w:b w:val="0"/>
                <w:sz w:val="20"/>
                <w:szCs w:val="20"/>
                <w:lang w:val="en-US"/>
              </w:rPr>
              <w:t xml:space="preserve">tandards and legal requirements for single entities in </w:t>
            </w:r>
            <w:r w:rsidRPr="00EE3484">
              <w:rPr>
                <w:rFonts w:cs="Calibri"/>
                <w:b w:val="0"/>
                <w:sz w:val="20"/>
                <w:szCs w:val="20"/>
                <w:lang w:val="en-US"/>
              </w:rPr>
              <w:t>Italy;</w:t>
            </w:r>
          </w:p>
          <w:p w14:paraId="4AB127F0" w14:textId="77777777" w:rsidR="003657E8" w:rsidRPr="00EE3484" w:rsidRDefault="003657E8" w:rsidP="009E2A1B">
            <w:pPr>
              <w:pStyle w:val="Paragrafoelenco"/>
              <w:numPr>
                <w:ilvl w:val="0"/>
                <w:numId w:val="2"/>
              </w:numPr>
              <w:spacing w:after="0" w:line="240" w:lineRule="auto"/>
              <w:rPr>
                <w:rFonts w:cs="Calibri"/>
                <w:b w:val="0"/>
                <w:sz w:val="20"/>
                <w:szCs w:val="20"/>
                <w:lang w:val="en-US"/>
              </w:rPr>
            </w:pPr>
            <w:proofErr w:type="gramStart"/>
            <w:r w:rsidRPr="00EE3484">
              <w:rPr>
                <w:rFonts w:cs="Calibri"/>
                <w:b w:val="0"/>
                <w:sz w:val="20"/>
                <w:szCs w:val="20"/>
                <w:lang w:val="en-US"/>
              </w:rPr>
              <w:t>be able to</w:t>
            </w:r>
            <w:proofErr w:type="gramEnd"/>
            <w:r w:rsidRPr="00EE3484">
              <w:rPr>
                <w:rFonts w:cs="Calibri"/>
                <w:b w:val="0"/>
                <w:sz w:val="20"/>
                <w:szCs w:val="20"/>
                <w:lang w:val="en-US"/>
              </w:rPr>
              <w:t xml:space="preserve"> </w:t>
            </w:r>
            <w:proofErr w:type="spellStart"/>
            <w:r w:rsidRPr="00EE3484">
              <w:rPr>
                <w:rFonts w:cs="Calibri"/>
                <w:sz w:val="20"/>
                <w:szCs w:val="20"/>
                <w:lang w:val="en-US"/>
              </w:rPr>
              <w:t>a</w:t>
            </w:r>
            <w:r w:rsidR="00E80D88" w:rsidRPr="00EE3484">
              <w:rPr>
                <w:rFonts w:cs="Calibri"/>
                <w:sz w:val="20"/>
                <w:szCs w:val="20"/>
                <w:lang w:val="en-US"/>
              </w:rPr>
              <w:t>nalyse</w:t>
            </w:r>
            <w:proofErr w:type="spellEnd"/>
            <w:r w:rsidR="00E80D88" w:rsidRPr="00EE3484">
              <w:rPr>
                <w:rFonts w:cs="Calibri"/>
                <w:sz w:val="20"/>
                <w:szCs w:val="20"/>
                <w:lang w:val="en-US"/>
              </w:rPr>
              <w:t xml:space="preserve"> and appraise</w:t>
            </w:r>
            <w:r w:rsidR="00E80D88" w:rsidRPr="00EE3484">
              <w:rPr>
                <w:rFonts w:cs="Calibri"/>
                <w:b w:val="0"/>
                <w:sz w:val="20"/>
                <w:szCs w:val="20"/>
                <w:lang w:val="en-US"/>
              </w:rPr>
              <w:t xml:space="preserve"> single entity financial statements and report thereon</w:t>
            </w:r>
            <w:r w:rsidRPr="00EE3484">
              <w:rPr>
                <w:rFonts w:cs="Calibri"/>
                <w:b w:val="0"/>
                <w:sz w:val="20"/>
                <w:szCs w:val="20"/>
                <w:lang w:val="en-US"/>
              </w:rPr>
              <w:t>;</w:t>
            </w:r>
          </w:p>
          <w:p w14:paraId="0956004D" w14:textId="77777777" w:rsidR="003657E8" w:rsidRPr="00EE3484" w:rsidRDefault="003657E8" w:rsidP="009E2A1B">
            <w:pPr>
              <w:pStyle w:val="Paragrafoelenco"/>
              <w:numPr>
                <w:ilvl w:val="0"/>
                <w:numId w:val="2"/>
              </w:numPr>
              <w:spacing w:after="0" w:line="240" w:lineRule="auto"/>
              <w:rPr>
                <w:rFonts w:cs="Calibri"/>
                <w:b w:val="0"/>
                <w:sz w:val="20"/>
                <w:szCs w:val="20"/>
                <w:lang w:val="en-US"/>
              </w:rPr>
            </w:pPr>
            <w:proofErr w:type="gramStart"/>
            <w:r w:rsidRPr="00EE3484">
              <w:rPr>
                <w:rFonts w:cs="Calibri"/>
                <w:b w:val="0"/>
                <w:sz w:val="20"/>
                <w:szCs w:val="20"/>
                <w:lang w:val="en-US"/>
              </w:rPr>
              <w:t>be able to</w:t>
            </w:r>
            <w:proofErr w:type="gramEnd"/>
            <w:r w:rsidRPr="00EE3484">
              <w:rPr>
                <w:rFonts w:cs="Calibri"/>
                <w:b w:val="0"/>
                <w:sz w:val="20"/>
                <w:szCs w:val="20"/>
                <w:lang w:val="en-US"/>
              </w:rPr>
              <w:t xml:space="preserve"> </w:t>
            </w:r>
            <w:r w:rsidRPr="00EE3484">
              <w:rPr>
                <w:rFonts w:cs="Calibri"/>
                <w:sz w:val="20"/>
                <w:szCs w:val="20"/>
                <w:lang w:val="en-US"/>
              </w:rPr>
              <w:t>p</w:t>
            </w:r>
            <w:r w:rsidR="00E80D88" w:rsidRPr="00EE3484">
              <w:rPr>
                <w:rFonts w:cs="Calibri"/>
                <w:sz w:val="20"/>
                <w:szCs w:val="20"/>
                <w:lang w:val="en-US"/>
              </w:rPr>
              <w:t>repare</w:t>
            </w:r>
            <w:r w:rsidR="00E80D88" w:rsidRPr="00EE3484">
              <w:rPr>
                <w:rFonts w:cs="Calibri"/>
                <w:b w:val="0"/>
                <w:sz w:val="20"/>
                <w:szCs w:val="20"/>
                <w:lang w:val="en-US"/>
              </w:rPr>
              <w:t xml:space="preserve"> financial statements for partnerships</w:t>
            </w:r>
            <w:r w:rsidRPr="00EE3484">
              <w:rPr>
                <w:rFonts w:cs="Calibri"/>
                <w:b w:val="0"/>
                <w:sz w:val="20"/>
                <w:szCs w:val="20"/>
                <w:lang w:val="en-US"/>
              </w:rPr>
              <w:t>;</w:t>
            </w:r>
          </w:p>
          <w:p w14:paraId="435642D8" w14:textId="77777777" w:rsidR="00F77DED" w:rsidRPr="00EE3484" w:rsidRDefault="003657E8" w:rsidP="009E2A1B">
            <w:pPr>
              <w:pStyle w:val="Paragrafoelenco"/>
              <w:numPr>
                <w:ilvl w:val="0"/>
                <w:numId w:val="2"/>
              </w:numPr>
              <w:spacing w:after="0" w:line="240" w:lineRule="auto"/>
              <w:rPr>
                <w:rFonts w:cs="Calibri"/>
                <w:b w:val="0"/>
                <w:sz w:val="20"/>
                <w:szCs w:val="20"/>
                <w:lang w:val="en-US"/>
              </w:rPr>
            </w:pPr>
            <w:proofErr w:type="gramStart"/>
            <w:r w:rsidRPr="00EE3484">
              <w:rPr>
                <w:rFonts w:cs="Calibri"/>
                <w:b w:val="0"/>
                <w:sz w:val="20"/>
                <w:szCs w:val="20"/>
                <w:lang w:val="en-US"/>
              </w:rPr>
              <w:t>be able to</w:t>
            </w:r>
            <w:proofErr w:type="gramEnd"/>
            <w:r w:rsidRPr="00EE3484">
              <w:rPr>
                <w:rFonts w:cs="Calibri"/>
                <w:b w:val="0"/>
                <w:sz w:val="20"/>
                <w:szCs w:val="20"/>
                <w:lang w:val="en-US"/>
              </w:rPr>
              <w:t xml:space="preserve"> </w:t>
            </w:r>
            <w:r w:rsidRPr="00EE3484">
              <w:rPr>
                <w:rFonts w:cs="Calibri"/>
                <w:sz w:val="20"/>
                <w:szCs w:val="20"/>
                <w:lang w:val="en-US"/>
              </w:rPr>
              <w:t>m</w:t>
            </w:r>
            <w:r w:rsidR="00E80D88" w:rsidRPr="00EE3484">
              <w:rPr>
                <w:rFonts w:cs="Calibri"/>
                <w:sz w:val="20"/>
                <w:szCs w:val="20"/>
                <w:lang w:val="en-US"/>
              </w:rPr>
              <w:t>anage</w:t>
            </w:r>
            <w:r w:rsidR="00E80D88" w:rsidRPr="00EE3484">
              <w:rPr>
                <w:rFonts w:cs="Calibri"/>
                <w:b w:val="0"/>
                <w:sz w:val="20"/>
                <w:szCs w:val="20"/>
                <w:lang w:val="en-US"/>
              </w:rPr>
              <w:t xml:space="preserve"> themselves and </w:t>
            </w:r>
            <w:r w:rsidR="00AB6428" w:rsidRPr="00EE3484">
              <w:rPr>
                <w:rFonts w:cs="Calibri"/>
                <w:b w:val="0"/>
                <w:sz w:val="20"/>
                <w:szCs w:val="20"/>
                <w:lang w:val="en-US"/>
              </w:rPr>
              <w:t xml:space="preserve">team </w:t>
            </w:r>
            <w:r w:rsidR="00E80D88" w:rsidRPr="00EE3484">
              <w:rPr>
                <w:rFonts w:cs="Calibri"/>
                <w:b w:val="0"/>
                <w:sz w:val="20"/>
                <w:szCs w:val="20"/>
                <w:lang w:val="en-US"/>
              </w:rPr>
              <w:t>members they work with</w:t>
            </w:r>
            <w:r w:rsidRPr="00EE3484">
              <w:rPr>
                <w:rFonts w:cs="Calibri"/>
                <w:b w:val="0"/>
                <w:sz w:val="20"/>
                <w:szCs w:val="20"/>
                <w:lang w:val="en-US"/>
              </w:rPr>
              <w:t xml:space="preserve"> </w:t>
            </w:r>
            <w:r w:rsidR="00E80D88" w:rsidRPr="00EE3484">
              <w:rPr>
                <w:rFonts w:cs="Calibri"/>
                <w:b w:val="0"/>
                <w:sz w:val="20"/>
                <w:szCs w:val="20"/>
                <w:lang w:val="en-US"/>
              </w:rPr>
              <w:t>when undertaking independent study and continuous assessment</w:t>
            </w:r>
            <w:r w:rsidRPr="00EE3484">
              <w:rPr>
                <w:rFonts w:cs="Calibri"/>
                <w:b w:val="0"/>
                <w:sz w:val="20"/>
                <w:szCs w:val="20"/>
                <w:lang w:val="en-US"/>
              </w:rPr>
              <w:t>;</w:t>
            </w:r>
          </w:p>
          <w:p w14:paraId="5F4F2D23" w14:textId="77777777" w:rsidR="00F77DED" w:rsidRPr="00EE3484" w:rsidRDefault="0001491D" w:rsidP="009E2A1B">
            <w:pPr>
              <w:pStyle w:val="Paragrafoelenco"/>
              <w:numPr>
                <w:ilvl w:val="0"/>
                <w:numId w:val="2"/>
              </w:numPr>
              <w:spacing w:after="0" w:line="240" w:lineRule="auto"/>
              <w:rPr>
                <w:rFonts w:cs="Calibri"/>
                <w:b w:val="0"/>
                <w:sz w:val="20"/>
                <w:szCs w:val="20"/>
                <w:lang w:val="en-US"/>
              </w:rPr>
            </w:pPr>
            <w:r w:rsidRPr="00EE3484">
              <w:rPr>
                <w:rFonts w:cs="Calibri"/>
                <w:b w:val="0"/>
                <w:sz w:val="20"/>
                <w:szCs w:val="20"/>
                <w:lang w:val="en-US"/>
              </w:rPr>
              <w:t xml:space="preserve">be able </w:t>
            </w:r>
            <w:r w:rsidRPr="00EE3484">
              <w:rPr>
                <w:rFonts w:cs="Calibri"/>
                <w:sz w:val="20"/>
                <w:szCs w:val="20"/>
                <w:lang w:val="en-US"/>
              </w:rPr>
              <w:t>d</w:t>
            </w:r>
            <w:r w:rsidR="00F77DED" w:rsidRPr="00EE3484">
              <w:rPr>
                <w:rFonts w:cs="Calibri"/>
                <w:sz w:val="20"/>
                <w:szCs w:val="20"/>
                <w:lang w:val="en-US"/>
              </w:rPr>
              <w:t>iscuss</w:t>
            </w:r>
            <w:r w:rsidR="00F77DED" w:rsidRPr="00EE3484">
              <w:rPr>
                <w:rFonts w:cs="Calibri"/>
                <w:b w:val="0"/>
                <w:sz w:val="20"/>
                <w:szCs w:val="20"/>
                <w:lang w:val="en-US"/>
              </w:rPr>
              <w:t xml:space="preserve"> the aims, problems and achievements to date of international</w:t>
            </w:r>
            <w:r w:rsidRPr="00EE3484">
              <w:rPr>
                <w:rFonts w:cs="Calibri"/>
                <w:b w:val="0"/>
                <w:sz w:val="20"/>
                <w:szCs w:val="20"/>
                <w:lang w:val="en-US"/>
              </w:rPr>
              <w:t xml:space="preserve"> </w:t>
            </w:r>
            <w:proofErr w:type="spellStart"/>
            <w:r w:rsidRPr="00EE3484">
              <w:rPr>
                <w:rFonts w:cs="Calibri"/>
                <w:b w:val="0"/>
                <w:sz w:val="20"/>
                <w:szCs w:val="20"/>
                <w:lang w:val="en-US"/>
              </w:rPr>
              <w:t>h</w:t>
            </w:r>
            <w:r w:rsidR="00F77DED" w:rsidRPr="00EE3484">
              <w:rPr>
                <w:rFonts w:cs="Calibri"/>
                <w:b w:val="0"/>
                <w:sz w:val="20"/>
                <w:szCs w:val="20"/>
                <w:lang w:val="en-US"/>
              </w:rPr>
              <w:t>armo</w:t>
            </w:r>
            <w:r w:rsidR="00AB6428" w:rsidRPr="00EE3484">
              <w:rPr>
                <w:rFonts w:cs="Calibri"/>
                <w:b w:val="0"/>
                <w:sz w:val="20"/>
                <w:szCs w:val="20"/>
                <w:lang w:val="en-US"/>
              </w:rPr>
              <w:t>nisation</w:t>
            </w:r>
            <w:proofErr w:type="spellEnd"/>
            <w:r w:rsidR="00AB6428" w:rsidRPr="00EE3484">
              <w:rPr>
                <w:rFonts w:cs="Calibri"/>
                <w:b w:val="0"/>
                <w:sz w:val="20"/>
                <w:szCs w:val="20"/>
                <w:lang w:val="en-US"/>
              </w:rPr>
              <w:t xml:space="preserve"> of financial reporting;</w:t>
            </w:r>
          </w:p>
          <w:p w14:paraId="7B837B4B" w14:textId="77777777" w:rsidR="00F77DED" w:rsidRPr="00EE3484" w:rsidRDefault="00071F1C" w:rsidP="009E2A1B">
            <w:pPr>
              <w:pStyle w:val="Paragrafoelenco"/>
              <w:numPr>
                <w:ilvl w:val="0"/>
                <w:numId w:val="2"/>
              </w:numPr>
              <w:spacing w:after="0" w:line="240" w:lineRule="auto"/>
              <w:rPr>
                <w:rFonts w:cs="Calibri"/>
                <w:b w:val="0"/>
                <w:sz w:val="20"/>
                <w:szCs w:val="20"/>
                <w:lang w:val="en-US"/>
              </w:rPr>
            </w:pPr>
            <w:proofErr w:type="gramStart"/>
            <w:r w:rsidRPr="00EE3484">
              <w:rPr>
                <w:rFonts w:cs="Calibri"/>
                <w:b w:val="0"/>
                <w:sz w:val="20"/>
                <w:szCs w:val="20"/>
                <w:lang w:val="en-US"/>
              </w:rPr>
              <w:t>be able to</w:t>
            </w:r>
            <w:proofErr w:type="gramEnd"/>
            <w:r w:rsidRPr="00EE3484">
              <w:rPr>
                <w:rFonts w:cs="Calibri"/>
                <w:b w:val="0"/>
                <w:sz w:val="20"/>
                <w:szCs w:val="20"/>
                <w:lang w:val="en-US"/>
              </w:rPr>
              <w:t xml:space="preserve"> </w:t>
            </w:r>
            <w:r w:rsidRPr="00EE3484">
              <w:rPr>
                <w:rFonts w:cs="Calibri"/>
                <w:sz w:val="20"/>
                <w:szCs w:val="20"/>
                <w:lang w:val="en-US"/>
              </w:rPr>
              <w:t>d</w:t>
            </w:r>
            <w:r w:rsidR="00F77DED" w:rsidRPr="00EE3484">
              <w:rPr>
                <w:rFonts w:cs="Calibri"/>
                <w:sz w:val="20"/>
                <w:szCs w:val="20"/>
                <w:lang w:val="en-US"/>
              </w:rPr>
              <w:t>iscuss</w:t>
            </w:r>
            <w:r w:rsidR="00F77DED" w:rsidRPr="00EE3484">
              <w:rPr>
                <w:rFonts w:cs="Calibri"/>
                <w:b w:val="0"/>
                <w:sz w:val="20"/>
                <w:szCs w:val="20"/>
                <w:lang w:val="en-US"/>
              </w:rPr>
              <w:t xml:space="preserve"> the main features of financial reporting practices across a variety of</w:t>
            </w:r>
          </w:p>
          <w:p w14:paraId="7E1DD571" w14:textId="77777777" w:rsidR="00F77DED" w:rsidRPr="00EE3484" w:rsidRDefault="00AB6428" w:rsidP="00AB6428">
            <w:pPr>
              <w:pStyle w:val="Paragrafoelenco"/>
              <w:spacing w:after="0" w:line="240" w:lineRule="auto"/>
              <w:ind w:left="393"/>
              <w:rPr>
                <w:rFonts w:cs="Calibri"/>
                <w:b w:val="0"/>
                <w:sz w:val="20"/>
                <w:szCs w:val="20"/>
                <w:lang w:val="en-US"/>
              </w:rPr>
            </w:pPr>
            <w:r w:rsidRPr="00EE3484">
              <w:rPr>
                <w:rFonts w:cs="Calibri"/>
                <w:b w:val="0"/>
                <w:sz w:val="20"/>
                <w:szCs w:val="20"/>
                <w:lang w:val="en-US"/>
              </w:rPr>
              <w:t xml:space="preserve">countries and </w:t>
            </w:r>
            <w:r w:rsidRPr="00EE3484">
              <w:rPr>
                <w:rFonts w:cs="Calibri"/>
                <w:sz w:val="20"/>
                <w:szCs w:val="20"/>
                <w:lang w:val="en-US"/>
              </w:rPr>
              <w:t>explain</w:t>
            </w:r>
            <w:r w:rsidRPr="00EE3484">
              <w:rPr>
                <w:rFonts w:cs="Calibri"/>
                <w:b w:val="0"/>
                <w:sz w:val="20"/>
                <w:szCs w:val="20"/>
                <w:lang w:val="en-US"/>
              </w:rPr>
              <w:t xml:space="preserve"> the </w:t>
            </w:r>
            <w:r w:rsidR="00F77DED" w:rsidRPr="00EE3484">
              <w:rPr>
                <w:rFonts w:cs="Calibri"/>
                <w:b w:val="0"/>
                <w:sz w:val="20"/>
                <w:szCs w:val="20"/>
                <w:lang w:val="en-US"/>
              </w:rPr>
              <w:t>problems caused by accounting and reporting diversity for</w:t>
            </w:r>
            <w:r w:rsidRPr="00EE3484">
              <w:rPr>
                <w:rFonts w:cs="Calibri"/>
                <w:b w:val="0"/>
                <w:sz w:val="20"/>
                <w:szCs w:val="20"/>
                <w:lang w:val="en-US"/>
              </w:rPr>
              <w:t xml:space="preserve"> </w:t>
            </w:r>
            <w:r w:rsidR="00F77DED" w:rsidRPr="00EE3484">
              <w:rPr>
                <w:rFonts w:cs="Calibri"/>
                <w:b w:val="0"/>
                <w:sz w:val="20"/>
                <w:szCs w:val="20"/>
                <w:lang w:val="en-US"/>
              </w:rPr>
              <w:t>companies and report readers.</w:t>
            </w:r>
          </w:p>
          <w:p w14:paraId="59925127" w14:textId="77777777" w:rsidR="00B31E8B" w:rsidRPr="00061393" w:rsidRDefault="00AB6428" w:rsidP="009E2A1B">
            <w:pPr>
              <w:pStyle w:val="Paragrafoelenco"/>
              <w:numPr>
                <w:ilvl w:val="0"/>
                <w:numId w:val="2"/>
              </w:numPr>
              <w:spacing w:after="0" w:line="240" w:lineRule="auto"/>
              <w:rPr>
                <w:rFonts w:cs="Calibri"/>
                <w:b w:val="0"/>
                <w:sz w:val="20"/>
                <w:szCs w:val="20"/>
                <w:lang w:val="en-US"/>
              </w:rPr>
            </w:pPr>
            <w:proofErr w:type="gramStart"/>
            <w:r w:rsidRPr="00EE3484">
              <w:rPr>
                <w:rFonts w:cs="Calibri"/>
                <w:b w:val="0"/>
                <w:sz w:val="20"/>
                <w:szCs w:val="20"/>
                <w:lang w:val="en-US"/>
              </w:rPr>
              <w:t>be able to</w:t>
            </w:r>
            <w:proofErr w:type="gramEnd"/>
            <w:r w:rsidRPr="00EE3484">
              <w:rPr>
                <w:rFonts w:cs="Calibri"/>
                <w:b w:val="0"/>
                <w:sz w:val="20"/>
                <w:szCs w:val="20"/>
                <w:lang w:val="en-US"/>
              </w:rPr>
              <w:t xml:space="preserve"> </w:t>
            </w:r>
            <w:r w:rsidRPr="00EE3484">
              <w:rPr>
                <w:rFonts w:cs="Calibri"/>
                <w:sz w:val="20"/>
                <w:szCs w:val="20"/>
                <w:lang w:val="en-US"/>
              </w:rPr>
              <w:t>e</w:t>
            </w:r>
            <w:r w:rsidR="00F77DED" w:rsidRPr="00EE3484">
              <w:rPr>
                <w:rFonts w:cs="Calibri"/>
                <w:sz w:val="20"/>
                <w:szCs w:val="20"/>
                <w:lang w:val="en-US"/>
              </w:rPr>
              <w:t>valuate</w:t>
            </w:r>
            <w:r w:rsidR="00F77DED" w:rsidRPr="00EE3484">
              <w:rPr>
                <w:rFonts w:cs="Calibri"/>
                <w:b w:val="0"/>
                <w:sz w:val="20"/>
                <w:szCs w:val="20"/>
                <w:lang w:val="en-US"/>
              </w:rPr>
              <w:t xml:space="preserve"> the possible responses to accounting diversity available to users</w:t>
            </w:r>
            <w:r w:rsidRPr="00EE3484">
              <w:rPr>
                <w:rFonts w:cs="Calibri"/>
                <w:b w:val="0"/>
                <w:sz w:val="20"/>
                <w:szCs w:val="20"/>
                <w:lang w:val="en-US"/>
              </w:rPr>
              <w:t>.</w:t>
            </w:r>
          </w:p>
        </w:tc>
      </w:tr>
      <w:tr w:rsidR="00B31E8B" w:rsidRPr="00A76CEE" w14:paraId="355CD74C" w14:textId="77777777" w:rsidTr="00016B95">
        <w:tc>
          <w:tcPr>
            <w:tcW w:w="392" w:type="dxa"/>
            <w:vAlign w:val="center"/>
          </w:tcPr>
          <w:p w14:paraId="7FC46377" w14:textId="77777777" w:rsidR="00B31E8B" w:rsidRPr="00BE3C30" w:rsidRDefault="00B31E8B" w:rsidP="00016B95">
            <w:pPr>
              <w:rPr>
                <w:rFonts w:cs="Calibri"/>
                <w:b w:val="0"/>
                <w:bCs/>
                <w:smallCaps/>
                <w:sz w:val="20"/>
                <w:szCs w:val="20"/>
              </w:rPr>
            </w:pPr>
            <w:r w:rsidRPr="00BE3C30">
              <w:rPr>
                <w:rFonts w:cs="Calibri"/>
                <w:b w:val="0"/>
                <w:bCs/>
                <w:smallCaps/>
                <w:sz w:val="20"/>
                <w:szCs w:val="20"/>
              </w:rPr>
              <w:t>3</w:t>
            </w:r>
          </w:p>
        </w:tc>
        <w:tc>
          <w:tcPr>
            <w:tcW w:w="2410" w:type="dxa"/>
            <w:vAlign w:val="center"/>
          </w:tcPr>
          <w:p w14:paraId="2C28C132" w14:textId="77777777" w:rsidR="00B31E8B" w:rsidRPr="00BE3C30" w:rsidRDefault="00B31E8B" w:rsidP="00016B95">
            <w:pPr>
              <w:spacing w:after="0" w:line="240" w:lineRule="auto"/>
              <w:rPr>
                <w:rFonts w:cs="Calibri"/>
                <w:b w:val="0"/>
                <w:sz w:val="20"/>
                <w:szCs w:val="20"/>
                <w:lang w:val="en-US"/>
              </w:rPr>
            </w:pPr>
            <w:r w:rsidRPr="00BE3C30">
              <w:rPr>
                <w:rFonts w:cs="Calibri"/>
                <w:b w:val="0"/>
                <w:sz w:val="20"/>
                <w:szCs w:val="20"/>
                <w:lang w:val="en-US"/>
              </w:rPr>
              <w:t>Prerequisites and learning activities</w:t>
            </w:r>
          </w:p>
        </w:tc>
        <w:tc>
          <w:tcPr>
            <w:tcW w:w="7052" w:type="dxa"/>
          </w:tcPr>
          <w:p w14:paraId="32886379" w14:textId="77777777" w:rsidR="00B31E8B" w:rsidRPr="001456A5" w:rsidRDefault="00F77DED" w:rsidP="001456A5">
            <w:pPr>
              <w:spacing w:after="0" w:line="240" w:lineRule="auto"/>
              <w:ind w:left="33" w:hanging="33"/>
              <w:rPr>
                <w:rFonts w:cs="Arial"/>
                <w:b w:val="0"/>
                <w:bCs/>
                <w:sz w:val="20"/>
                <w:szCs w:val="20"/>
                <w:lang w:val="en-US"/>
              </w:rPr>
            </w:pPr>
            <w:r w:rsidRPr="00F77DED">
              <w:rPr>
                <w:rFonts w:cs="Calibri"/>
                <w:b w:val="0"/>
                <w:bCs/>
                <w:sz w:val="20"/>
                <w:szCs w:val="20"/>
                <w:lang w:val="en-US"/>
              </w:rPr>
              <w:t>The student must know the basic notions of Accounting contained in the Financial Accounting and Reporting exam</w:t>
            </w:r>
          </w:p>
        </w:tc>
      </w:tr>
      <w:tr w:rsidR="00B31E8B" w:rsidRPr="00DB2030" w14:paraId="086090D0" w14:textId="77777777" w:rsidTr="00016B95">
        <w:tc>
          <w:tcPr>
            <w:tcW w:w="392" w:type="dxa"/>
            <w:tcBorders>
              <w:bottom w:val="single" w:sz="4" w:space="0" w:color="auto"/>
            </w:tcBorders>
            <w:vAlign w:val="center"/>
          </w:tcPr>
          <w:p w14:paraId="45BC5D3E" w14:textId="77777777" w:rsidR="00B31E8B" w:rsidRPr="00BE3C30" w:rsidRDefault="00B31E8B" w:rsidP="00016B95">
            <w:pPr>
              <w:rPr>
                <w:rFonts w:cs="Calibri"/>
                <w:b w:val="0"/>
                <w:bCs/>
                <w:smallCaps/>
                <w:sz w:val="20"/>
                <w:szCs w:val="20"/>
              </w:rPr>
            </w:pPr>
            <w:r w:rsidRPr="00BE3C30">
              <w:rPr>
                <w:rFonts w:cs="Calibri"/>
                <w:b w:val="0"/>
                <w:bCs/>
                <w:smallCaps/>
                <w:sz w:val="20"/>
                <w:szCs w:val="20"/>
              </w:rPr>
              <w:t>4</w:t>
            </w:r>
          </w:p>
        </w:tc>
        <w:tc>
          <w:tcPr>
            <w:tcW w:w="2410" w:type="dxa"/>
            <w:tcBorders>
              <w:bottom w:val="single" w:sz="4" w:space="0" w:color="auto"/>
            </w:tcBorders>
            <w:vAlign w:val="center"/>
          </w:tcPr>
          <w:p w14:paraId="6651FD2C" w14:textId="77777777" w:rsidR="00B31E8B" w:rsidRPr="00BE3C30" w:rsidRDefault="00B31E8B" w:rsidP="00016B95">
            <w:pPr>
              <w:spacing w:after="0" w:line="240" w:lineRule="auto"/>
              <w:rPr>
                <w:rFonts w:cs="Calibri"/>
                <w:b w:val="0"/>
                <w:sz w:val="20"/>
                <w:szCs w:val="20"/>
                <w:lang w:val="en-US"/>
              </w:rPr>
            </w:pPr>
            <w:r w:rsidRPr="00BE3C30">
              <w:rPr>
                <w:rFonts w:cs="Calibri"/>
                <w:b w:val="0"/>
                <w:sz w:val="20"/>
                <w:szCs w:val="20"/>
                <w:lang w:val="en-US"/>
              </w:rPr>
              <w:t>Teaching methods</w:t>
            </w:r>
          </w:p>
          <w:p w14:paraId="726A5F2B" w14:textId="77777777" w:rsidR="00B31E8B" w:rsidRPr="00BE3C30" w:rsidRDefault="00B31E8B" w:rsidP="00016B95">
            <w:pPr>
              <w:spacing w:after="0" w:line="240" w:lineRule="auto"/>
              <w:rPr>
                <w:rFonts w:cs="Calibri"/>
                <w:b w:val="0"/>
                <w:sz w:val="20"/>
                <w:szCs w:val="20"/>
                <w:lang w:val="en-US"/>
              </w:rPr>
            </w:pPr>
            <w:r w:rsidRPr="00BE3C30">
              <w:rPr>
                <w:rFonts w:cs="Calibri"/>
                <w:b w:val="0"/>
                <w:sz w:val="20"/>
                <w:szCs w:val="20"/>
                <w:lang w:val="en-US"/>
              </w:rPr>
              <w:t>and language</w:t>
            </w:r>
          </w:p>
        </w:tc>
        <w:tc>
          <w:tcPr>
            <w:tcW w:w="7052" w:type="dxa"/>
            <w:tcBorders>
              <w:bottom w:val="single" w:sz="4" w:space="0" w:color="auto"/>
            </w:tcBorders>
          </w:tcPr>
          <w:p w14:paraId="75D1DAD2" w14:textId="77777777" w:rsidR="00B31E8B" w:rsidRPr="003C72B5" w:rsidRDefault="00F77DED" w:rsidP="00016B95">
            <w:pPr>
              <w:spacing w:after="0" w:line="240" w:lineRule="auto"/>
              <w:rPr>
                <w:rFonts w:cs="Arial"/>
                <w:b w:val="0"/>
                <w:bCs/>
                <w:sz w:val="20"/>
                <w:szCs w:val="20"/>
                <w:lang w:val="en-US"/>
              </w:rPr>
            </w:pPr>
            <w:r>
              <w:rPr>
                <w:rFonts w:cs="Arial"/>
                <w:b w:val="0"/>
                <w:bCs/>
                <w:sz w:val="20"/>
                <w:szCs w:val="20"/>
                <w:lang w:val="en-US"/>
              </w:rPr>
              <w:t>Lectures, exercises.</w:t>
            </w:r>
            <w:r w:rsidR="00AB6428" w:rsidRPr="00F77DED">
              <w:rPr>
                <w:rFonts w:cs="Arial"/>
                <w:b w:val="0"/>
                <w:bCs/>
                <w:sz w:val="20"/>
                <w:szCs w:val="20"/>
                <w:lang w:val="en-US"/>
              </w:rPr>
              <w:t xml:space="preserve"> The class lectures are based on </w:t>
            </w:r>
            <w:proofErr w:type="spellStart"/>
            <w:r w:rsidR="00AB6428" w:rsidRPr="00F77DED">
              <w:rPr>
                <w:rFonts w:cs="Arial"/>
                <w:b w:val="0"/>
                <w:bCs/>
                <w:sz w:val="20"/>
                <w:szCs w:val="20"/>
                <w:lang w:val="en-US"/>
              </w:rPr>
              <w:t>Powerpoint</w:t>
            </w:r>
            <w:proofErr w:type="spellEnd"/>
            <w:r w:rsidR="00AB6428" w:rsidRPr="00F77DED">
              <w:rPr>
                <w:rFonts w:cs="Arial"/>
                <w:b w:val="0"/>
                <w:bCs/>
                <w:sz w:val="20"/>
                <w:szCs w:val="20"/>
                <w:lang w:val="en-US"/>
              </w:rPr>
              <w:t xml:space="preserve"> slides. The slides are available to students on the course website. It is recommended that students print these slides and bring them to class each lecture. Upon completion of each topic, the slides with answers to the practice problems will be available. The class sessions are participatory as students are asked to complete practice problems during the lectures since the best way to learn accounting is by doing.</w:t>
            </w:r>
          </w:p>
          <w:p w14:paraId="0EC4A134" w14:textId="77777777" w:rsidR="00AB6428" w:rsidRDefault="00B31E8B" w:rsidP="00016B95">
            <w:pPr>
              <w:spacing w:after="0" w:line="240" w:lineRule="auto"/>
              <w:rPr>
                <w:rFonts w:cs="Calibri"/>
                <w:b w:val="0"/>
                <w:bCs/>
                <w:sz w:val="20"/>
                <w:szCs w:val="20"/>
                <w:lang w:val="en-US"/>
              </w:rPr>
            </w:pPr>
            <w:r w:rsidRPr="00173228">
              <w:rPr>
                <w:rFonts w:cs="Calibri"/>
                <w:bCs/>
                <w:sz w:val="20"/>
                <w:szCs w:val="20"/>
                <w:lang w:val="en-US"/>
              </w:rPr>
              <w:t>Language:</w:t>
            </w:r>
            <w:r w:rsidRPr="00BE3C30">
              <w:rPr>
                <w:rFonts w:cs="Calibri"/>
                <w:bCs/>
                <w:sz w:val="20"/>
                <w:szCs w:val="20"/>
                <w:lang w:val="en-US"/>
              </w:rPr>
              <w:t xml:space="preserve"> </w:t>
            </w:r>
            <w:r w:rsidR="00AB6428">
              <w:rPr>
                <w:rFonts w:cs="Calibri"/>
                <w:b w:val="0"/>
                <w:bCs/>
                <w:sz w:val="20"/>
                <w:szCs w:val="20"/>
                <w:lang w:val="en-US"/>
              </w:rPr>
              <w:t>Italian</w:t>
            </w:r>
          </w:p>
          <w:p w14:paraId="2869058F" w14:textId="77777777" w:rsidR="00B31E8B" w:rsidRPr="00173228" w:rsidRDefault="00B31E8B" w:rsidP="00016B95">
            <w:pPr>
              <w:spacing w:after="0" w:line="240" w:lineRule="auto"/>
              <w:rPr>
                <w:rFonts w:cs="Calibri"/>
                <w:bCs/>
                <w:sz w:val="20"/>
                <w:szCs w:val="20"/>
                <w:lang w:val="en-US"/>
              </w:rPr>
            </w:pPr>
            <w:r w:rsidRPr="00173228">
              <w:rPr>
                <w:rFonts w:cs="Calibri"/>
                <w:bCs/>
                <w:sz w:val="20"/>
                <w:szCs w:val="20"/>
                <w:lang w:val="en-US"/>
              </w:rPr>
              <w:t>Ref. Text books</w:t>
            </w:r>
            <w:r>
              <w:rPr>
                <w:rFonts w:cs="Calibri"/>
                <w:bCs/>
                <w:sz w:val="20"/>
                <w:szCs w:val="20"/>
                <w:lang w:val="en-US"/>
              </w:rPr>
              <w:t>:</w:t>
            </w:r>
          </w:p>
          <w:p w14:paraId="6007053B" w14:textId="77777777" w:rsidR="00B31E8B" w:rsidRPr="00F77DED" w:rsidRDefault="00B31E8B" w:rsidP="00AB6428">
            <w:pPr>
              <w:spacing w:after="0" w:line="240" w:lineRule="auto"/>
              <w:rPr>
                <w:rFonts w:cs="Arial"/>
                <w:b w:val="0"/>
                <w:bCs/>
                <w:sz w:val="20"/>
                <w:szCs w:val="20"/>
                <w:lang w:val="en-US"/>
              </w:rPr>
            </w:pPr>
            <w:r w:rsidRPr="003C72B5">
              <w:rPr>
                <w:rFonts w:cs="Arial"/>
                <w:b w:val="0"/>
                <w:bCs/>
                <w:sz w:val="20"/>
                <w:szCs w:val="20"/>
                <w:lang w:val="en-US"/>
              </w:rPr>
              <w:t xml:space="preserve">- </w:t>
            </w:r>
            <w:r w:rsidR="00AB6428">
              <w:rPr>
                <w:rFonts w:cs="Arial"/>
                <w:b w:val="0"/>
                <w:bCs/>
                <w:sz w:val="20"/>
                <w:szCs w:val="20"/>
                <w:lang w:val="en-US"/>
              </w:rPr>
              <w:t>Teacher’s Notes</w:t>
            </w:r>
          </w:p>
        </w:tc>
      </w:tr>
      <w:tr w:rsidR="00B31E8B" w:rsidRPr="00A76CEE" w14:paraId="1BB9158D" w14:textId="77777777" w:rsidTr="00016B95">
        <w:trPr>
          <w:trHeight w:val="440"/>
        </w:trPr>
        <w:tc>
          <w:tcPr>
            <w:tcW w:w="392" w:type="dxa"/>
            <w:vAlign w:val="center"/>
          </w:tcPr>
          <w:p w14:paraId="7BA03002" w14:textId="77777777" w:rsidR="00B31E8B" w:rsidRPr="00566FE1" w:rsidRDefault="00B31E8B" w:rsidP="00016B95">
            <w:pPr>
              <w:rPr>
                <w:rFonts w:cs="Calibri"/>
                <w:b w:val="0"/>
                <w:bCs/>
                <w:smallCaps/>
                <w:sz w:val="20"/>
                <w:szCs w:val="20"/>
                <w:lang w:val="en-GB"/>
              </w:rPr>
            </w:pPr>
            <w:r w:rsidRPr="00566FE1">
              <w:rPr>
                <w:rFonts w:cs="Calibri"/>
                <w:b w:val="0"/>
                <w:bCs/>
                <w:smallCaps/>
                <w:sz w:val="20"/>
                <w:szCs w:val="20"/>
                <w:lang w:val="en-GB"/>
              </w:rPr>
              <w:t>5</w:t>
            </w:r>
          </w:p>
        </w:tc>
        <w:tc>
          <w:tcPr>
            <w:tcW w:w="2410" w:type="dxa"/>
            <w:vAlign w:val="center"/>
          </w:tcPr>
          <w:p w14:paraId="4B5EC2A0" w14:textId="77777777" w:rsidR="00B31E8B" w:rsidRPr="00BE3C30" w:rsidRDefault="00B31E8B" w:rsidP="00016B95">
            <w:pPr>
              <w:spacing w:after="0" w:line="240" w:lineRule="auto"/>
              <w:rPr>
                <w:rFonts w:cs="Calibri"/>
                <w:b w:val="0"/>
                <w:sz w:val="20"/>
                <w:szCs w:val="20"/>
                <w:lang w:val="en-US"/>
              </w:rPr>
            </w:pPr>
            <w:r w:rsidRPr="00BE3C30">
              <w:rPr>
                <w:rFonts w:cs="Calibri"/>
                <w:b w:val="0"/>
                <w:sz w:val="20"/>
                <w:szCs w:val="20"/>
                <w:lang w:val="en-US"/>
              </w:rPr>
              <w:t>Assessment methods and criteria</w:t>
            </w:r>
          </w:p>
        </w:tc>
        <w:tc>
          <w:tcPr>
            <w:tcW w:w="7052" w:type="dxa"/>
          </w:tcPr>
          <w:p w14:paraId="0D5D3E62" w14:textId="77777777" w:rsidR="00AB6428" w:rsidRPr="00EE3484" w:rsidRDefault="00C66A6D" w:rsidP="00AB6428">
            <w:pPr>
              <w:spacing w:after="0" w:line="240" w:lineRule="auto"/>
              <w:rPr>
                <w:rFonts w:cs="Calibri"/>
                <w:b w:val="0"/>
                <w:bCs/>
                <w:sz w:val="20"/>
                <w:szCs w:val="20"/>
                <w:lang w:val="en-US"/>
              </w:rPr>
            </w:pPr>
            <w:r w:rsidRPr="00EE3484">
              <w:rPr>
                <w:rFonts w:cs="Calibri"/>
                <w:b w:val="0"/>
                <w:bCs/>
                <w:sz w:val="20"/>
                <w:szCs w:val="20"/>
                <w:u w:val="single"/>
                <w:lang w:val="en-US"/>
              </w:rPr>
              <w:t>Formative assessment</w:t>
            </w:r>
            <w:r w:rsidRPr="00EE3484">
              <w:rPr>
                <w:rFonts w:cs="Calibri"/>
                <w:b w:val="0"/>
                <w:bCs/>
                <w:sz w:val="20"/>
                <w:szCs w:val="20"/>
                <w:lang w:val="en-US"/>
              </w:rPr>
              <w:t xml:space="preserve">: the students are involved in discussions and comments </w:t>
            </w:r>
            <w:r w:rsidR="00AB6428" w:rsidRPr="00EE3484">
              <w:rPr>
                <w:rFonts w:cs="Calibri"/>
                <w:b w:val="0"/>
                <w:bCs/>
                <w:sz w:val="20"/>
                <w:szCs w:val="20"/>
                <w:lang w:val="en-US"/>
              </w:rPr>
              <w:t>in short Q&amp;A sessions.</w:t>
            </w:r>
            <w:r w:rsidRPr="00EE3484">
              <w:rPr>
                <w:rFonts w:cs="Calibri"/>
                <w:b w:val="0"/>
                <w:bCs/>
                <w:sz w:val="20"/>
                <w:szCs w:val="20"/>
                <w:lang w:val="en-US"/>
              </w:rPr>
              <w:t xml:space="preserve"> The active participation is supported also by</w:t>
            </w:r>
            <w:r w:rsidR="00AB6428" w:rsidRPr="00EE3484">
              <w:rPr>
                <w:rFonts w:cs="Calibri"/>
                <w:b w:val="0"/>
                <w:bCs/>
                <w:sz w:val="20"/>
                <w:szCs w:val="20"/>
                <w:lang w:val="en-US"/>
              </w:rPr>
              <w:t xml:space="preserve"> exercises and practice problems in the classroom or in small workgroups, after the end of each unit.</w:t>
            </w:r>
          </w:p>
          <w:p w14:paraId="4D2EE94D" w14:textId="77777777" w:rsidR="00B31E8B" w:rsidRPr="00494221" w:rsidRDefault="00C66A6D" w:rsidP="00EE3484">
            <w:pPr>
              <w:spacing w:after="0" w:line="240" w:lineRule="auto"/>
              <w:rPr>
                <w:rFonts w:cs="Calibri"/>
                <w:b w:val="0"/>
                <w:bCs/>
                <w:color w:val="0000CC"/>
                <w:sz w:val="20"/>
                <w:szCs w:val="20"/>
                <w:lang w:val="en-US"/>
              </w:rPr>
            </w:pPr>
            <w:r w:rsidRPr="00EE3484">
              <w:rPr>
                <w:rFonts w:cs="Calibri"/>
                <w:b w:val="0"/>
                <w:bCs/>
                <w:sz w:val="20"/>
                <w:szCs w:val="20"/>
                <w:u w:val="single"/>
                <w:lang w:val="en-US"/>
              </w:rPr>
              <w:t>Summative assessment</w:t>
            </w:r>
            <w:r w:rsidRPr="00EE3484">
              <w:rPr>
                <w:rFonts w:cs="Calibri"/>
                <w:b w:val="0"/>
                <w:bCs/>
                <w:sz w:val="20"/>
                <w:szCs w:val="20"/>
                <w:lang w:val="en-US"/>
              </w:rPr>
              <w:t xml:space="preserve">: </w:t>
            </w:r>
            <w:r w:rsidR="00AB6428" w:rsidRPr="00EE3484">
              <w:rPr>
                <w:rFonts w:cs="Calibri"/>
                <w:b w:val="0"/>
                <w:bCs/>
                <w:sz w:val="20"/>
                <w:szCs w:val="20"/>
                <w:lang w:val="en-US"/>
              </w:rPr>
              <w:t xml:space="preserve">Oral exam that consists of the answer </w:t>
            </w:r>
            <w:r w:rsidR="00AB6428" w:rsidRPr="002575EB">
              <w:rPr>
                <w:rFonts w:cs="Calibri"/>
                <w:b w:val="0"/>
                <w:bCs/>
                <w:sz w:val="20"/>
                <w:szCs w:val="20"/>
                <w:lang w:val="en-US"/>
              </w:rPr>
              <w:t>to 3 questions</w:t>
            </w:r>
            <w:r w:rsidR="00AB6428" w:rsidRPr="00EE3484">
              <w:rPr>
                <w:rFonts w:cs="Calibri"/>
                <w:b w:val="0"/>
                <w:bCs/>
                <w:sz w:val="20"/>
                <w:szCs w:val="20"/>
                <w:lang w:val="en-US"/>
              </w:rPr>
              <w:t xml:space="preserve"> aiming to evaluate the degree </w:t>
            </w:r>
            <w:bookmarkStart w:id="0" w:name="_GoBack"/>
            <w:bookmarkEnd w:id="0"/>
            <w:r w:rsidR="00AB6428" w:rsidRPr="00EE3484">
              <w:rPr>
                <w:rFonts w:cs="Calibri"/>
                <w:b w:val="0"/>
                <w:bCs/>
                <w:sz w:val="20"/>
                <w:szCs w:val="20"/>
                <w:lang w:val="en-US"/>
              </w:rPr>
              <w:t>of knowledge of the international Standar</w:t>
            </w:r>
            <w:r w:rsidR="00494221" w:rsidRPr="00EE3484">
              <w:rPr>
                <w:rFonts w:cs="Calibri"/>
                <w:b w:val="0"/>
                <w:bCs/>
                <w:sz w:val="20"/>
                <w:szCs w:val="20"/>
                <w:lang w:val="en-US"/>
              </w:rPr>
              <w:t>d</w:t>
            </w:r>
            <w:r w:rsidR="00AB6428" w:rsidRPr="00EE3484">
              <w:rPr>
                <w:rFonts w:cs="Calibri"/>
                <w:b w:val="0"/>
                <w:bCs/>
                <w:sz w:val="20"/>
                <w:szCs w:val="20"/>
                <w:lang w:val="en-US"/>
              </w:rPr>
              <w:t>s</w:t>
            </w:r>
            <w:r w:rsidR="00494221" w:rsidRPr="00EE3484">
              <w:rPr>
                <w:rFonts w:cs="Calibri"/>
                <w:b w:val="0"/>
                <w:bCs/>
                <w:sz w:val="20"/>
                <w:szCs w:val="20"/>
                <w:lang w:val="en-US"/>
              </w:rPr>
              <w:t xml:space="preserve"> (30% of total mark)</w:t>
            </w:r>
            <w:r w:rsidR="00AB6428" w:rsidRPr="00EE3484">
              <w:rPr>
                <w:rFonts w:cs="Calibri"/>
                <w:b w:val="0"/>
                <w:bCs/>
                <w:sz w:val="20"/>
                <w:szCs w:val="20"/>
                <w:lang w:val="en-US"/>
              </w:rPr>
              <w:t>, the</w:t>
            </w:r>
            <w:r w:rsidR="00AB6428">
              <w:rPr>
                <w:rFonts w:cs="Calibri"/>
                <w:b w:val="0"/>
                <w:bCs/>
                <w:color w:val="0000CC"/>
                <w:sz w:val="20"/>
                <w:szCs w:val="20"/>
                <w:lang w:val="en-US"/>
              </w:rPr>
              <w:t xml:space="preserve"> </w:t>
            </w:r>
            <w:r w:rsidR="00AB6428" w:rsidRPr="00EE3484">
              <w:rPr>
                <w:rFonts w:cs="Calibri"/>
                <w:b w:val="0"/>
                <w:bCs/>
                <w:sz w:val="20"/>
                <w:szCs w:val="20"/>
                <w:lang w:val="en-US"/>
              </w:rPr>
              <w:t xml:space="preserve">capacity to </w:t>
            </w:r>
            <w:r w:rsidR="00EE3484" w:rsidRPr="00EE3484">
              <w:rPr>
                <w:rFonts w:cs="Calibri"/>
                <w:b w:val="0"/>
                <w:bCs/>
                <w:sz w:val="20"/>
                <w:szCs w:val="20"/>
                <w:lang w:val="en-US"/>
              </w:rPr>
              <w:t xml:space="preserve">solve </w:t>
            </w:r>
            <w:r w:rsidR="00EE3484" w:rsidRPr="00EE3484">
              <w:rPr>
                <w:rFonts w:cs="Arial"/>
                <w:b w:val="0"/>
                <w:bCs/>
                <w:sz w:val="20"/>
                <w:szCs w:val="20"/>
                <w:lang w:val="en-US"/>
              </w:rPr>
              <w:t>exercises</w:t>
            </w:r>
            <w:r w:rsidR="00AB6428" w:rsidRPr="00EE3484">
              <w:rPr>
                <w:rFonts w:cs="Calibri"/>
                <w:b w:val="0"/>
                <w:bCs/>
                <w:sz w:val="20"/>
                <w:szCs w:val="20"/>
                <w:lang w:val="en-US"/>
              </w:rPr>
              <w:t xml:space="preserve"> </w:t>
            </w:r>
            <w:r w:rsidR="00494221" w:rsidRPr="00EE3484">
              <w:rPr>
                <w:rFonts w:cs="Calibri"/>
                <w:b w:val="0"/>
                <w:bCs/>
                <w:sz w:val="20"/>
                <w:szCs w:val="20"/>
                <w:lang w:val="en-US"/>
              </w:rPr>
              <w:t xml:space="preserve">(30% of total mark), </w:t>
            </w:r>
            <w:r w:rsidR="00AB6428" w:rsidRPr="00EE3484">
              <w:rPr>
                <w:rFonts w:cs="Calibri"/>
                <w:b w:val="0"/>
                <w:bCs/>
                <w:sz w:val="20"/>
                <w:szCs w:val="20"/>
                <w:lang w:val="en-US"/>
              </w:rPr>
              <w:t xml:space="preserve">the degree of autonomy </w:t>
            </w:r>
            <w:proofErr w:type="gramStart"/>
            <w:r w:rsidR="00AB6428" w:rsidRPr="00EE3484">
              <w:rPr>
                <w:rFonts w:cs="Calibri"/>
                <w:b w:val="0"/>
                <w:bCs/>
                <w:sz w:val="20"/>
                <w:szCs w:val="20"/>
                <w:lang w:val="en-US"/>
              </w:rPr>
              <w:t>in  preparing</w:t>
            </w:r>
            <w:proofErr w:type="gramEnd"/>
            <w:r w:rsidR="00AB6428" w:rsidRPr="00EE3484">
              <w:rPr>
                <w:rFonts w:cs="Calibri"/>
                <w:b w:val="0"/>
                <w:bCs/>
                <w:sz w:val="20"/>
                <w:szCs w:val="20"/>
                <w:lang w:val="en-US"/>
              </w:rPr>
              <w:t xml:space="preserve"> and interpreting a financial reports </w:t>
            </w:r>
            <w:r w:rsidR="00494221" w:rsidRPr="00EE3484">
              <w:rPr>
                <w:rFonts w:cs="Calibri"/>
                <w:b w:val="0"/>
                <w:bCs/>
                <w:sz w:val="20"/>
                <w:szCs w:val="20"/>
                <w:lang w:val="en-US"/>
              </w:rPr>
              <w:t>(30% of total mark), and the capacity to communicate knowledge in a proper way (10% of total mark).</w:t>
            </w:r>
          </w:p>
        </w:tc>
      </w:tr>
    </w:tbl>
    <w:p w14:paraId="267C8F40" w14:textId="77777777" w:rsidR="006B137D" w:rsidRPr="00BE3C30" w:rsidRDefault="006B137D" w:rsidP="002C1E18">
      <w:pPr>
        <w:spacing w:after="0" w:line="240" w:lineRule="auto"/>
        <w:rPr>
          <w:lang w:val="en-US"/>
        </w:rPr>
      </w:pPr>
    </w:p>
    <w:sectPr w:rsidR="006B137D" w:rsidRPr="00BE3C30" w:rsidSect="00DF47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ngsana New">
    <w:panose1 w:val="02020603050405020304"/>
    <w:charset w:val="00"/>
    <w:family w:val="auto"/>
    <w:pitch w:val="variable"/>
    <w:sig w:usb0="81000003" w:usb1="00000000" w:usb2="00000000" w:usb3="00000000" w:csb0="00010001"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B00"/>
    <w:multiLevelType w:val="hybridMultilevel"/>
    <w:tmpl w:val="37CCF158"/>
    <w:lvl w:ilvl="0" w:tplc="04100003">
      <w:start w:val="1"/>
      <w:numFmt w:val="bullet"/>
      <w:lvlText w:val="o"/>
      <w:lvlJc w:val="left"/>
      <w:pPr>
        <w:ind w:left="393" w:hanging="360"/>
      </w:pPr>
      <w:rPr>
        <w:rFonts w:ascii="Courier New" w:hAnsi="Courier New" w:cs="Courier New"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1">
    <w:nsid w:val="20186710"/>
    <w:multiLevelType w:val="hybridMultilevel"/>
    <w:tmpl w:val="50EE4C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8B5B63"/>
    <w:multiLevelType w:val="hybridMultilevel"/>
    <w:tmpl w:val="7908A27C"/>
    <w:lvl w:ilvl="0" w:tplc="8932C38E">
      <w:start w:val="1"/>
      <w:numFmt w:val="bullet"/>
      <w:lvlText w:val="-"/>
      <w:lvlJc w:val="left"/>
      <w:pPr>
        <w:ind w:left="393" w:hanging="360"/>
      </w:pPr>
      <w:rPr>
        <w:rFonts w:ascii="Angsana New" w:hAnsi="Angsana New"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3">
    <w:nsid w:val="5E535C93"/>
    <w:multiLevelType w:val="hybridMultilevel"/>
    <w:tmpl w:val="9D487C40"/>
    <w:lvl w:ilvl="0" w:tplc="04100003">
      <w:start w:val="1"/>
      <w:numFmt w:val="bullet"/>
      <w:lvlText w:val="o"/>
      <w:lvlJc w:val="left"/>
      <w:pPr>
        <w:ind w:left="393" w:hanging="360"/>
      </w:pPr>
      <w:rPr>
        <w:rFonts w:ascii="Courier New" w:hAnsi="Courier New" w:cs="Courier New"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4">
    <w:nsid w:val="73067D91"/>
    <w:multiLevelType w:val="hybridMultilevel"/>
    <w:tmpl w:val="E5D6D114"/>
    <w:lvl w:ilvl="0" w:tplc="8932C38E">
      <w:start w:val="1"/>
      <w:numFmt w:val="bullet"/>
      <w:lvlText w:val="-"/>
      <w:lvlJc w:val="left"/>
      <w:pPr>
        <w:ind w:left="360" w:hanging="360"/>
      </w:pPr>
      <w:rPr>
        <w:rFonts w:ascii="Angsana New" w:hAnsi="Angsana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F2"/>
    <w:rsid w:val="000065F3"/>
    <w:rsid w:val="0001491D"/>
    <w:rsid w:val="00016B95"/>
    <w:rsid w:val="00030835"/>
    <w:rsid w:val="00036B48"/>
    <w:rsid w:val="0005394B"/>
    <w:rsid w:val="00061393"/>
    <w:rsid w:val="00071F1C"/>
    <w:rsid w:val="0008121B"/>
    <w:rsid w:val="000E42F5"/>
    <w:rsid w:val="00106D22"/>
    <w:rsid w:val="00110B9A"/>
    <w:rsid w:val="00124C49"/>
    <w:rsid w:val="00132442"/>
    <w:rsid w:val="00141A0E"/>
    <w:rsid w:val="001456A5"/>
    <w:rsid w:val="00162C63"/>
    <w:rsid w:val="00163FD1"/>
    <w:rsid w:val="001751C2"/>
    <w:rsid w:val="001E0568"/>
    <w:rsid w:val="00226919"/>
    <w:rsid w:val="002575EB"/>
    <w:rsid w:val="00294C2B"/>
    <w:rsid w:val="002B452A"/>
    <w:rsid w:val="002C1E18"/>
    <w:rsid w:val="002D4C42"/>
    <w:rsid w:val="002E4E37"/>
    <w:rsid w:val="00320E20"/>
    <w:rsid w:val="00323C4A"/>
    <w:rsid w:val="00326EED"/>
    <w:rsid w:val="00351F7A"/>
    <w:rsid w:val="003525F4"/>
    <w:rsid w:val="003657E8"/>
    <w:rsid w:val="00370132"/>
    <w:rsid w:val="003C72B5"/>
    <w:rsid w:val="004322EF"/>
    <w:rsid w:val="00455FC7"/>
    <w:rsid w:val="00461C76"/>
    <w:rsid w:val="004663ED"/>
    <w:rsid w:val="00475298"/>
    <w:rsid w:val="00475BC7"/>
    <w:rsid w:val="004823F7"/>
    <w:rsid w:val="00494221"/>
    <w:rsid w:val="004B0F1B"/>
    <w:rsid w:val="004E398B"/>
    <w:rsid w:val="004F2F90"/>
    <w:rsid w:val="004F6EF7"/>
    <w:rsid w:val="005062CF"/>
    <w:rsid w:val="0053187C"/>
    <w:rsid w:val="00562795"/>
    <w:rsid w:val="00594778"/>
    <w:rsid w:val="005954C5"/>
    <w:rsid w:val="00633C1C"/>
    <w:rsid w:val="00633CBC"/>
    <w:rsid w:val="00664A52"/>
    <w:rsid w:val="006B137D"/>
    <w:rsid w:val="006C3FF0"/>
    <w:rsid w:val="006E43EB"/>
    <w:rsid w:val="006F01B0"/>
    <w:rsid w:val="00741FA3"/>
    <w:rsid w:val="00755E73"/>
    <w:rsid w:val="00756F21"/>
    <w:rsid w:val="007656BD"/>
    <w:rsid w:val="007845F5"/>
    <w:rsid w:val="0079473C"/>
    <w:rsid w:val="00794F17"/>
    <w:rsid w:val="007963F0"/>
    <w:rsid w:val="007A2A06"/>
    <w:rsid w:val="007B00DA"/>
    <w:rsid w:val="007D1602"/>
    <w:rsid w:val="007F6AC1"/>
    <w:rsid w:val="00823B25"/>
    <w:rsid w:val="008254FF"/>
    <w:rsid w:val="00880ADD"/>
    <w:rsid w:val="00887AC1"/>
    <w:rsid w:val="00891E8D"/>
    <w:rsid w:val="008D0BD5"/>
    <w:rsid w:val="008E1E71"/>
    <w:rsid w:val="008F7B71"/>
    <w:rsid w:val="009046E7"/>
    <w:rsid w:val="009161A9"/>
    <w:rsid w:val="0095101C"/>
    <w:rsid w:val="009626B9"/>
    <w:rsid w:val="009666FE"/>
    <w:rsid w:val="00992173"/>
    <w:rsid w:val="009B2AC9"/>
    <w:rsid w:val="009B6EB4"/>
    <w:rsid w:val="009D4C14"/>
    <w:rsid w:val="009E2804"/>
    <w:rsid w:val="009E2A1B"/>
    <w:rsid w:val="009F19DC"/>
    <w:rsid w:val="00A07546"/>
    <w:rsid w:val="00A16DDA"/>
    <w:rsid w:val="00A338F8"/>
    <w:rsid w:val="00A66169"/>
    <w:rsid w:val="00A756A2"/>
    <w:rsid w:val="00A76CEE"/>
    <w:rsid w:val="00A81411"/>
    <w:rsid w:val="00A83FEA"/>
    <w:rsid w:val="00A9191C"/>
    <w:rsid w:val="00AA2F8D"/>
    <w:rsid w:val="00AA6F15"/>
    <w:rsid w:val="00AB6428"/>
    <w:rsid w:val="00AC7FEA"/>
    <w:rsid w:val="00AD198D"/>
    <w:rsid w:val="00B0128B"/>
    <w:rsid w:val="00B0209D"/>
    <w:rsid w:val="00B05AF2"/>
    <w:rsid w:val="00B11B8E"/>
    <w:rsid w:val="00B31E8B"/>
    <w:rsid w:val="00B66640"/>
    <w:rsid w:val="00B85782"/>
    <w:rsid w:val="00B879D1"/>
    <w:rsid w:val="00B90001"/>
    <w:rsid w:val="00BA3C47"/>
    <w:rsid w:val="00BF0FA9"/>
    <w:rsid w:val="00C04FDA"/>
    <w:rsid w:val="00C2127D"/>
    <w:rsid w:val="00C26FE5"/>
    <w:rsid w:val="00C41A03"/>
    <w:rsid w:val="00C43768"/>
    <w:rsid w:val="00C601D7"/>
    <w:rsid w:val="00C66A6D"/>
    <w:rsid w:val="00CB1C3D"/>
    <w:rsid w:val="00CC611D"/>
    <w:rsid w:val="00D04A8D"/>
    <w:rsid w:val="00D276D9"/>
    <w:rsid w:val="00D55F1F"/>
    <w:rsid w:val="00DB2030"/>
    <w:rsid w:val="00DB75F0"/>
    <w:rsid w:val="00DD503C"/>
    <w:rsid w:val="00DF4730"/>
    <w:rsid w:val="00E34122"/>
    <w:rsid w:val="00E66C09"/>
    <w:rsid w:val="00E70214"/>
    <w:rsid w:val="00E80D88"/>
    <w:rsid w:val="00EA1135"/>
    <w:rsid w:val="00EB0A19"/>
    <w:rsid w:val="00EE1ED9"/>
    <w:rsid w:val="00EE3484"/>
    <w:rsid w:val="00EF124A"/>
    <w:rsid w:val="00F0384E"/>
    <w:rsid w:val="00F15429"/>
    <w:rsid w:val="00F365C0"/>
    <w:rsid w:val="00F67F7E"/>
    <w:rsid w:val="00F77DED"/>
    <w:rsid w:val="00F97466"/>
    <w:rsid w:val="00FC396A"/>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A2A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left="340" w:hanging="34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05AF2"/>
    <w:pPr>
      <w:spacing w:after="200" w:line="276" w:lineRule="auto"/>
      <w:ind w:left="0" w:firstLine="0"/>
    </w:pPr>
    <w:rPr>
      <w:rFonts w:ascii="Arial Narrow" w:eastAsia="Calibri" w:hAnsi="Arial Narrow" w:cs="Times New Roman"/>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5A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5AF2"/>
    <w:rPr>
      <w:rFonts w:ascii="Tahoma" w:eastAsia="Calibri" w:hAnsi="Tahoma" w:cs="Tahoma"/>
      <w:b/>
      <w:sz w:val="16"/>
      <w:szCs w:val="16"/>
    </w:rPr>
  </w:style>
  <w:style w:type="character" w:styleId="Collegamentoipertestuale">
    <w:name w:val="Hyperlink"/>
    <w:basedOn w:val="Carpredefinitoparagrafo"/>
    <w:uiPriority w:val="99"/>
    <w:unhideWhenUsed/>
    <w:rsid w:val="00B85782"/>
    <w:rPr>
      <w:color w:val="0000FF" w:themeColor="hyperlink"/>
      <w:u w:val="single"/>
    </w:rPr>
  </w:style>
  <w:style w:type="paragraph" w:styleId="Paragrafoelenco">
    <w:name w:val="List Paragraph"/>
    <w:basedOn w:val="Normale"/>
    <w:uiPriority w:val="34"/>
    <w:qFormat/>
    <w:rsid w:val="00061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1241">
      <w:bodyDiv w:val="1"/>
      <w:marLeft w:val="0"/>
      <w:marRight w:val="0"/>
      <w:marTop w:val="0"/>
      <w:marBottom w:val="0"/>
      <w:divBdr>
        <w:top w:val="none" w:sz="0" w:space="0" w:color="auto"/>
        <w:left w:val="none" w:sz="0" w:space="0" w:color="auto"/>
        <w:bottom w:val="none" w:sz="0" w:space="0" w:color="auto"/>
        <w:right w:val="none" w:sz="0" w:space="0" w:color="auto"/>
      </w:divBdr>
    </w:div>
    <w:div w:id="205601201">
      <w:bodyDiv w:val="1"/>
      <w:marLeft w:val="0"/>
      <w:marRight w:val="0"/>
      <w:marTop w:val="0"/>
      <w:marBottom w:val="0"/>
      <w:divBdr>
        <w:top w:val="none" w:sz="0" w:space="0" w:color="auto"/>
        <w:left w:val="none" w:sz="0" w:space="0" w:color="auto"/>
        <w:bottom w:val="none" w:sz="0" w:space="0" w:color="auto"/>
        <w:right w:val="none" w:sz="0" w:space="0" w:color="auto"/>
      </w:divBdr>
    </w:div>
    <w:div w:id="284236849">
      <w:bodyDiv w:val="1"/>
      <w:marLeft w:val="0"/>
      <w:marRight w:val="0"/>
      <w:marTop w:val="0"/>
      <w:marBottom w:val="0"/>
      <w:divBdr>
        <w:top w:val="none" w:sz="0" w:space="0" w:color="auto"/>
        <w:left w:val="none" w:sz="0" w:space="0" w:color="auto"/>
        <w:bottom w:val="none" w:sz="0" w:space="0" w:color="auto"/>
        <w:right w:val="none" w:sz="0" w:space="0" w:color="auto"/>
      </w:divBdr>
    </w:div>
    <w:div w:id="508062285">
      <w:bodyDiv w:val="1"/>
      <w:marLeft w:val="0"/>
      <w:marRight w:val="0"/>
      <w:marTop w:val="0"/>
      <w:marBottom w:val="0"/>
      <w:divBdr>
        <w:top w:val="none" w:sz="0" w:space="0" w:color="auto"/>
        <w:left w:val="none" w:sz="0" w:space="0" w:color="auto"/>
        <w:bottom w:val="none" w:sz="0" w:space="0" w:color="auto"/>
        <w:right w:val="none" w:sz="0" w:space="0" w:color="auto"/>
      </w:divBdr>
    </w:div>
    <w:div w:id="729690775">
      <w:bodyDiv w:val="1"/>
      <w:marLeft w:val="0"/>
      <w:marRight w:val="0"/>
      <w:marTop w:val="0"/>
      <w:marBottom w:val="0"/>
      <w:divBdr>
        <w:top w:val="none" w:sz="0" w:space="0" w:color="auto"/>
        <w:left w:val="none" w:sz="0" w:space="0" w:color="auto"/>
        <w:bottom w:val="none" w:sz="0" w:space="0" w:color="auto"/>
        <w:right w:val="none" w:sz="0" w:space="0" w:color="auto"/>
      </w:divBdr>
    </w:div>
    <w:div w:id="902254800">
      <w:bodyDiv w:val="1"/>
      <w:marLeft w:val="0"/>
      <w:marRight w:val="0"/>
      <w:marTop w:val="0"/>
      <w:marBottom w:val="0"/>
      <w:divBdr>
        <w:top w:val="none" w:sz="0" w:space="0" w:color="auto"/>
        <w:left w:val="none" w:sz="0" w:space="0" w:color="auto"/>
        <w:bottom w:val="none" w:sz="0" w:space="0" w:color="auto"/>
        <w:right w:val="none" w:sz="0" w:space="0" w:color="auto"/>
      </w:divBdr>
    </w:div>
    <w:div w:id="935330328">
      <w:bodyDiv w:val="1"/>
      <w:marLeft w:val="0"/>
      <w:marRight w:val="0"/>
      <w:marTop w:val="0"/>
      <w:marBottom w:val="0"/>
      <w:divBdr>
        <w:top w:val="none" w:sz="0" w:space="0" w:color="auto"/>
        <w:left w:val="none" w:sz="0" w:space="0" w:color="auto"/>
        <w:bottom w:val="none" w:sz="0" w:space="0" w:color="auto"/>
        <w:right w:val="none" w:sz="0" w:space="0" w:color="auto"/>
      </w:divBdr>
    </w:div>
    <w:div w:id="941449337">
      <w:bodyDiv w:val="1"/>
      <w:marLeft w:val="0"/>
      <w:marRight w:val="0"/>
      <w:marTop w:val="0"/>
      <w:marBottom w:val="0"/>
      <w:divBdr>
        <w:top w:val="none" w:sz="0" w:space="0" w:color="auto"/>
        <w:left w:val="none" w:sz="0" w:space="0" w:color="auto"/>
        <w:bottom w:val="none" w:sz="0" w:space="0" w:color="auto"/>
        <w:right w:val="none" w:sz="0" w:space="0" w:color="auto"/>
      </w:divBdr>
    </w:div>
    <w:div w:id="1155755166">
      <w:bodyDiv w:val="1"/>
      <w:marLeft w:val="0"/>
      <w:marRight w:val="0"/>
      <w:marTop w:val="0"/>
      <w:marBottom w:val="0"/>
      <w:divBdr>
        <w:top w:val="none" w:sz="0" w:space="0" w:color="auto"/>
        <w:left w:val="none" w:sz="0" w:space="0" w:color="auto"/>
        <w:bottom w:val="none" w:sz="0" w:space="0" w:color="auto"/>
        <w:right w:val="none" w:sz="0" w:space="0" w:color="auto"/>
      </w:divBdr>
    </w:div>
    <w:div w:id="1437141575">
      <w:bodyDiv w:val="1"/>
      <w:marLeft w:val="0"/>
      <w:marRight w:val="0"/>
      <w:marTop w:val="0"/>
      <w:marBottom w:val="0"/>
      <w:divBdr>
        <w:top w:val="none" w:sz="0" w:space="0" w:color="auto"/>
        <w:left w:val="none" w:sz="0" w:space="0" w:color="auto"/>
        <w:bottom w:val="none" w:sz="0" w:space="0" w:color="auto"/>
        <w:right w:val="none" w:sz="0" w:space="0" w:color="auto"/>
      </w:divBdr>
    </w:div>
    <w:div w:id="1548419547">
      <w:bodyDiv w:val="1"/>
      <w:marLeft w:val="0"/>
      <w:marRight w:val="0"/>
      <w:marTop w:val="0"/>
      <w:marBottom w:val="0"/>
      <w:divBdr>
        <w:top w:val="none" w:sz="0" w:space="0" w:color="auto"/>
        <w:left w:val="none" w:sz="0" w:space="0" w:color="auto"/>
        <w:bottom w:val="none" w:sz="0" w:space="0" w:color="auto"/>
        <w:right w:val="none" w:sz="0" w:space="0" w:color="auto"/>
      </w:divBdr>
    </w:div>
    <w:div w:id="1644311587">
      <w:bodyDiv w:val="1"/>
      <w:marLeft w:val="0"/>
      <w:marRight w:val="0"/>
      <w:marTop w:val="0"/>
      <w:marBottom w:val="0"/>
      <w:divBdr>
        <w:top w:val="none" w:sz="0" w:space="0" w:color="auto"/>
        <w:left w:val="none" w:sz="0" w:space="0" w:color="auto"/>
        <w:bottom w:val="none" w:sz="0" w:space="0" w:color="auto"/>
        <w:right w:val="none" w:sz="0" w:space="0" w:color="auto"/>
      </w:divBdr>
    </w:div>
    <w:div w:id="18335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4487C-1191-894F-ABAA-ADE08F68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607</Words>
  <Characters>3466</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Michele Pisani</cp:lastModifiedBy>
  <cp:revision>6</cp:revision>
  <cp:lastPrinted>2017-02-21T07:11:00Z</cp:lastPrinted>
  <dcterms:created xsi:type="dcterms:W3CDTF">2014-12-04T08:25:00Z</dcterms:created>
  <dcterms:modified xsi:type="dcterms:W3CDTF">2017-02-21T07:28:00Z</dcterms:modified>
</cp:coreProperties>
</file>